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37C" w14:textId="16C5FBEE" w:rsidR="000F341E" w:rsidRPr="008E2066" w:rsidRDefault="008E2066" w:rsidP="000F341E">
      <w:pPr>
        <w:spacing w:before="240"/>
        <w:jc w:val="center"/>
        <w:rPr>
          <w:rFonts w:ascii="TheSans" w:hAnsi="TheSans" w:cs="TheSans"/>
          <w:b/>
          <w:bCs/>
          <w:sz w:val="40"/>
          <w:szCs w:val="40"/>
          <w:rtl/>
        </w:rPr>
      </w:pPr>
      <w:r w:rsidRPr="008E2066">
        <w:rPr>
          <w:rFonts w:ascii="TheSans" w:hAnsi="TheSans" w:cs="TheSans"/>
          <w:b/>
          <w:bCs/>
          <w:sz w:val="36"/>
          <w:szCs w:val="36"/>
        </w:rPr>
        <w:t>THE COURTYARD HOUSES</w:t>
      </w:r>
    </w:p>
    <w:p w14:paraId="00000004" w14:textId="789A5E72" w:rsidR="002046DC" w:rsidRPr="008E2066" w:rsidRDefault="00BC75AB">
      <w:pPr>
        <w:spacing w:before="240"/>
        <w:rPr>
          <w:rFonts w:ascii="TheSans" w:hAnsi="TheSans" w:cs="TheSans"/>
          <w:b/>
          <w:color w:val="00308F"/>
          <w:sz w:val="20"/>
          <w:szCs w:val="20"/>
        </w:rPr>
      </w:pPr>
      <w:r w:rsidRPr="008E2066">
        <w:rPr>
          <w:rFonts w:ascii="TheSans" w:hAnsi="TheSans" w:cs="TheSans"/>
          <w:b/>
          <w:color w:val="C00000"/>
          <w:sz w:val="32"/>
          <w:szCs w:val="32"/>
        </w:rPr>
        <w:t>Main Information</w:t>
      </w:r>
      <w:r w:rsidRPr="008E2066">
        <w:rPr>
          <w:rFonts w:ascii="TheSans" w:hAnsi="TheSans" w:cs="TheSans"/>
          <w:b/>
          <w:color w:val="00308F"/>
          <w:sz w:val="20"/>
          <w:szCs w:val="20"/>
        </w:rPr>
        <w:tab/>
      </w:r>
    </w:p>
    <w:p w14:paraId="00000005" w14:textId="28FC9B45" w:rsidR="002046DC" w:rsidRPr="008E2066" w:rsidRDefault="00BC75AB" w:rsidP="0099388F">
      <w:pPr>
        <w:pStyle w:val="7"/>
        <w:rPr>
          <w:rFonts w:ascii="TheSans" w:hAnsi="TheSans" w:cs="TheSans"/>
          <w:b w:val="0"/>
          <w:sz w:val="10"/>
          <w:szCs w:val="10"/>
        </w:rPr>
      </w:pPr>
      <w:r w:rsidRPr="008219ED">
        <w:rPr>
          <w:rFonts w:ascii="TheSans" w:hAnsi="TheSans" w:cs="TheSans"/>
          <w:bCs w:val="0"/>
          <w:sz w:val="24"/>
          <w:szCs w:val="24"/>
        </w:rPr>
        <w:t>Project Name:</w:t>
      </w:r>
      <w:r w:rsidRPr="008219ED">
        <w:rPr>
          <w:rFonts w:ascii="TheSans" w:hAnsi="TheSans" w:cs="TheSans"/>
          <w:b w:val="0"/>
          <w:sz w:val="24"/>
          <w:szCs w:val="24"/>
        </w:rPr>
        <w:t xml:space="preserve"> </w:t>
      </w:r>
      <w:r w:rsidR="0099388F" w:rsidRPr="008219ED">
        <w:rPr>
          <w:rFonts w:ascii="TheSans" w:hAnsi="TheSans" w:cs="TheSans"/>
          <w:b w:val="0"/>
          <w:sz w:val="24"/>
          <w:szCs w:val="24"/>
        </w:rPr>
        <w:t>Calm Courtyard Houses</w:t>
      </w:r>
    </w:p>
    <w:p w14:paraId="00000006" w14:textId="56DBEA9E" w:rsidR="002046DC" w:rsidRPr="008E2066" w:rsidRDefault="00BC75AB">
      <w:pPr>
        <w:spacing w:before="240"/>
        <w:rPr>
          <w:rFonts w:ascii="TheSans" w:hAnsi="TheSans" w:cs="TheSans"/>
          <w:bCs/>
        </w:rPr>
      </w:pPr>
      <w:r w:rsidRPr="008219ED">
        <w:rPr>
          <w:rFonts w:ascii="TheSans" w:hAnsi="TheSans" w:cs="TheSans"/>
          <w:b/>
          <w:sz w:val="24"/>
          <w:szCs w:val="24"/>
        </w:rPr>
        <w:t>Office Name:</w:t>
      </w:r>
      <w:r w:rsidRPr="008219ED">
        <w:rPr>
          <w:rFonts w:ascii="TheSans" w:hAnsi="TheSans" w:cs="TheSans"/>
          <w:bCs/>
          <w:sz w:val="24"/>
          <w:szCs w:val="24"/>
        </w:rPr>
        <w:t xml:space="preserve"> </w:t>
      </w:r>
      <w:r w:rsidR="00895E74" w:rsidRPr="008219ED">
        <w:rPr>
          <w:rFonts w:ascii="TheSans" w:hAnsi="TheSans" w:cs="TheSans"/>
          <w:bCs/>
          <w:sz w:val="24"/>
          <w:szCs w:val="24"/>
        </w:rPr>
        <w:t>Alwathaaeq Consulting Engineers</w:t>
      </w:r>
    </w:p>
    <w:p w14:paraId="00000007" w14:textId="7BCA10AF" w:rsidR="002046DC" w:rsidRPr="008219ED" w:rsidRDefault="00BC75AB">
      <w:pPr>
        <w:spacing w:before="240"/>
        <w:rPr>
          <w:rFonts w:ascii="TheSans" w:hAnsi="TheSans" w:cs="TheSans"/>
          <w:b/>
          <w:sz w:val="24"/>
          <w:szCs w:val="24"/>
          <w:rtl/>
        </w:rPr>
      </w:pPr>
      <w:r w:rsidRPr="008219ED">
        <w:rPr>
          <w:rFonts w:ascii="TheSans" w:hAnsi="TheSans" w:cs="TheSans"/>
          <w:b/>
          <w:sz w:val="24"/>
          <w:szCs w:val="24"/>
        </w:rPr>
        <w:t xml:space="preserve">Office Website: </w:t>
      </w:r>
    </w:p>
    <w:p w14:paraId="184EA087" w14:textId="77777777" w:rsidR="008E2066" w:rsidRPr="008219ED" w:rsidRDefault="008E2066" w:rsidP="008E2066">
      <w:pPr>
        <w:pStyle w:val="8"/>
        <w:rPr>
          <w:rFonts w:ascii="TheSans" w:hAnsi="TheSans" w:cs="TheSans"/>
          <w:b w:val="0"/>
          <w:bCs/>
          <w:sz w:val="24"/>
          <w:szCs w:val="24"/>
        </w:rPr>
      </w:pPr>
      <w:r w:rsidRPr="008219ED">
        <w:rPr>
          <w:rFonts w:ascii="TheSans" w:hAnsi="TheSans" w:cs="TheSans"/>
          <w:sz w:val="24"/>
          <w:szCs w:val="24"/>
        </w:rPr>
        <w:t>Completion Year:</w:t>
      </w:r>
      <w:r w:rsidRPr="000F341E">
        <w:rPr>
          <w:rFonts w:ascii="TheSans" w:hAnsi="TheSans" w:cs="TheSans"/>
          <w:b w:val="0"/>
          <w:bCs/>
          <w:sz w:val="20"/>
          <w:szCs w:val="20"/>
        </w:rPr>
        <w:t xml:space="preserve"> </w:t>
      </w:r>
      <w:r w:rsidRPr="008219ED">
        <w:rPr>
          <w:rFonts w:ascii="TheSans" w:hAnsi="TheSans" w:cs="TheSans"/>
          <w:b w:val="0"/>
          <w:bCs/>
          <w:sz w:val="24"/>
          <w:szCs w:val="24"/>
        </w:rPr>
        <w:t>2021</w:t>
      </w:r>
    </w:p>
    <w:p w14:paraId="1B7106A7" w14:textId="77777777" w:rsidR="008E2066" w:rsidRPr="008219ED" w:rsidRDefault="008E2066" w:rsidP="008E2066">
      <w:pPr>
        <w:spacing w:before="240"/>
        <w:rPr>
          <w:rFonts w:ascii="TheSans" w:hAnsi="TheSans" w:cs="TheSans"/>
          <w:bCs/>
          <w:sz w:val="24"/>
          <w:szCs w:val="24"/>
        </w:rPr>
      </w:pPr>
      <w:r w:rsidRPr="008219ED">
        <w:rPr>
          <w:rFonts w:ascii="TheSans" w:hAnsi="TheSans" w:cs="TheSans"/>
          <w:b/>
          <w:sz w:val="24"/>
          <w:szCs w:val="24"/>
        </w:rPr>
        <w:t>Gross Built Area (m2/ ft2):</w:t>
      </w:r>
      <w:r w:rsidRPr="000F341E">
        <w:rPr>
          <w:rFonts w:ascii="TheSans" w:hAnsi="TheSans" w:cs="TheSans"/>
          <w:bCs/>
          <w:sz w:val="20"/>
          <w:szCs w:val="20"/>
        </w:rPr>
        <w:t xml:space="preserve"> </w:t>
      </w:r>
      <w:r w:rsidRPr="008219ED">
        <w:rPr>
          <w:rFonts w:ascii="TheSans" w:hAnsi="TheSans" w:cs="TheSans"/>
          <w:bCs/>
          <w:sz w:val="24"/>
          <w:szCs w:val="24"/>
        </w:rPr>
        <w:t>2400 m2</w:t>
      </w:r>
    </w:p>
    <w:p w14:paraId="5A190391" w14:textId="77777777" w:rsidR="008E2066" w:rsidRPr="008219ED" w:rsidRDefault="008E2066" w:rsidP="008E2066">
      <w:pPr>
        <w:spacing w:before="240"/>
        <w:rPr>
          <w:rFonts w:ascii="TheSans" w:hAnsi="TheSans" w:cs="TheSans"/>
          <w:bCs/>
          <w:sz w:val="24"/>
          <w:szCs w:val="24"/>
        </w:rPr>
      </w:pPr>
      <w:r w:rsidRPr="008219ED">
        <w:rPr>
          <w:rFonts w:ascii="TheSans" w:hAnsi="TheSans" w:cs="TheSans"/>
          <w:b/>
          <w:sz w:val="24"/>
          <w:szCs w:val="24"/>
        </w:rPr>
        <w:t xml:space="preserve">Project Location: </w:t>
      </w:r>
      <w:r w:rsidRPr="008219ED">
        <w:rPr>
          <w:rFonts w:ascii="TheSans" w:hAnsi="TheSans" w:cs="TheSans"/>
          <w:bCs/>
          <w:sz w:val="24"/>
          <w:szCs w:val="24"/>
        </w:rPr>
        <w:t>Riyadh – Saudi Arabia</w:t>
      </w:r>
    </w:p>
    <w:p w14:paraId="3D87DD4C" w14:textId="6DB0F09B" w:rsidR="008E2066" w:rsidRPr="008219ED" w:rsidRDefault="008E2066" w:rsidP="008219ED">
      <w:pPr>
        <w:spacing w:before="240"/>
        <w:rPr>
          <w:rFonts w:ascii="TheSans" w:hAnsi="TheSans" w:cs="TheSans"/>
          <w:b/>
          <w:sz w:val="24"/>
          <w:szCs w:val="24"/>
          <w:rtl/>
        </w:rPr>
      </w:pPr>
      <w:r w:rsidRPr="008219ED">
        <w:rPr>
          <w:rFonts w:ascii="TheSans" w:hAnsi="TheSans" w:cs="TheSans"/>
          <w:b/>
          <w:sz w:val="24"/>
          <w:szCs w:val="24"/>
        </w:rPr>
        <w:t>Program / Use / Building Function:</w:t>
      </w:r>
      <w:r w:rsidR="008219ED">
        <w:rPr>
          <w:rFonts w:ascii="TheSans" w:hAnsi="TheSans" w:cs="TheSans" w:hint="cs"/>
          <w:b/>
          <w:sz w:val="24"/>
          <w:szCs w:val="24"/>
          <w:rtl/>
        </w:rPr>
        <w:t xml:space="preserve"> </w:t>
      </w:r>
      <w:r w:rsidRPr="008219ED">
        <w:rPr>
          <w:rFonts w:ascii="TheSans" w:hAnsi="TheSans" w:cs="TheSans"/>
          <w:bCs/>
          <w:sz w:val="24"/>
          <w:szCs w:val="24"/>
        </w:rPr>
        <w:t>AutoCAD – Revit – SketchUp – Lumion</w:t>
      </w:r>
    </w:p>
    <w:p w14:paraId="204185B4" w14:textId="77777777" w:rsidR="008E2066" w:rsidRPr="008219ED" w:rsidRDefault="008E2066" w:rsidP="008E2066">
      <w:pPr>
        <w:spacing w:before="240"/>
        <w:rPr>
          <w:rFonts w:ascii="TheSans" w:hAnsi="TheSans" w:cs="TheSans"/>
          <w:bCs/>
          <w:sz w:val="24"/>
          <w:szCs w:val="24"/>
        </w:rPr>
      </w:pPr>
      <w:r w:rsidRPr="008219ED">
        <w:rPr>
          <w:rFonts w:ascii="TheSans" w:hAnsi="TheSans" w:cs="TheSans"/>
          <w:b/>
          <w:sz w:val="24"/>
          <w:szCs w:val="24"/>
        </w:rPr>
        <w:t>Lead Architects:</w:t>
      </w:r>
      <w:r w:rsidRPr="000F341E">
        <w:rPr>
          <w:rFonts w:ascii="TheSans" w:hAnsi="TheSans" w:cs="TheSans"/>
          <w:bCs/>
          <w:sz w:val="20"/>
          <w:szCs w:val="20"/>
        </w:rPr>
        <w:t xml:space="preserve"> </w:t>
      </w:r>
      <w:r w:rsidRPr="008219ED">
        <w:rPr>
          <w:rFonts w:ascii="TheSans" w:hAnsi="TheSans" w:cs="TheSans"/>
          <w:bCs/>
          <w:sz w:val="24"/>
          <w:szCs w:val="24"/>
        </w:rPr>
        <w:t>Mohammed Saad AL Mansour</w:t>
      </w:r>
    </w:p>
    <w:p w14:paraId="11EEFC38" w14:textId="091B57B2" w:rsidR="008E2066" w:rsidRPr="008219ED" w:rsidRDefault="008E2066" w:rsidP="008219ED">
      <w:pPr>
        <w:spacing w:before="240"/>
        <w:rPr>
          <w:rFonts w:ascii="TheSans" w:hAnsi="TheSans" w:cs="TheSans"/>
          <w:bCs/>
          <w:sz w:val="24"/>
          <w:szCs w:val="24"/>
        </w:rPr>
      </w:pPr>
      <w:r w:rsidRPr="008219ED">
        <w:rPr>
          <w:rFonts w:ascii="TheSans" w:hAnsi="TheSans" w:cs="TheSans"/>
          <w:b/>
          <w:sz w:val="24"/>
          <w:szCs w:val="24"/>
        </w:rPr>
        <w:t>Lead Architects e-mail:</w:t>
      </w:r>
      <w:r w:rsidRPr="000F341E">
        <w:rPr>
          <w:rFonts w:ascii="TheSans" w:hAnsi="TheSans" w:cs="TheSans"/>
          <w:bCs/>
          <w:sz w:val="20"/>
          <w:szCs w:val="20"/>
        </w:rPr>
        <w:t xml:space="preserve"> </w:t>
      </w:r>
      <w:r w:rsidRPr="008219ED">
        <w:rPr>
          <w:rFonts w:ascii="TheSans" w:hAnsi="TheSans" w:cs="TheSans"/>
          <w:bCs/>
          <w:sz w:val="24"/>
          <w:szCs w:val="24"/>
        </w:rPr>
        <w:t>M.Almansour@alwathaaeq.sa</w:t>
      </w:r>
    </w:p>
    <w:p w14:paraId="7E25A4BC" w14:textId="77777777" w:rsidR="00895E74" w:rsidRPr="008E2066" w:rsidRDefault="00BC75AB">
      <w:pPr>
        <w:spacing w:before="240"/>
        <w:rPr>
          <w:rFonts w:ascii="TheSans" w:hAnsi="TheSans" w:cs="TheSans"/>
          <w:b/>
          <w:color w:val="C00000"/>
          <w:sz w:val="32"/>
          <w:szCs w:val="32"/>
        </w:rPr>
      </w:pPr>
      <w:r w:rsidRPr="008E2066">
        <w:rPr>
          <w:rFonts w:ascii="TheSans" w:hAnsi="TheSans" w:cs="TheSans"/>
          <w:b/>
          <w:color w:val="C00000"/>
          <w:sz w:val="32"/>
          <w:szCs w:val="32"/>
        </w:rPr>
        <w:t xml:space="preserve">Social Media Accounts: </w:t>
      </w:r>
    </w:p>
    <w:p w14:paraId="00000008" w14:textId="64926F9E" w:rsidR="002046DC" w:rsidRPr="000F341E" w:rsidRDefault="00895E74">
      <w:pPr>
        <w:spacing w:before="240"/>
        <w:rPr>
          <w:rFonts w:ascii="TheSans" w:hAnsi="TheSans" w:cs="TheSans"/>
          <w:bCs/>
          <w:sz w:val="20"/>
          <w:szCs w:val="20"/>
        </w:rPr>
      </w:pPr>
      <w:r w:rsidRPr="008E2066">
        <w:rPr>
          <w:rFonts w:ascii="TheSans" w:hAnsi="TheSans" w:cs="TheSans"/>
          <w:b/>
        </w:rPr>
        <w:t>Instagram</w:t>
      </w:r>
      <w:r w:rsidRPr="008E2066">
        <w:rPr>
          <w:rFonts w:ascii="TheSans" w:hAnsi="TheSans" w:cs="TheSans"/>
          <w:b/>
          <w:rtl/>
        </w:rPr>
        <w:t xml:space="preserve"> </w:t>
      </w:r>
      <w:r w:rsidRPr="008E2066">
        <w:rPr>
          <w:rFonts w:ascii="TheSans" w:hAnsi="TheSans" w:cs="TheSans"/>
          <w:b/>
          <w:lang w:val="en-US"/>
        </w:rPr>
        <w:t>(1)</w:t>
      </w:r>
      <w:r w:rsidRPr="008E2066">
        <w:rPr>
          <w:rFonts w:ascii="TheSans" w:hAnsi="TheSans" w:cs="TheSans"/>
          <w:b/>
        </w:rPr>
        <w:t>:</w:t>
      </w:r>
      <w:r w:rsidRPr="008E2066">
        <w:rPr>
          <w:rFonts w:ascii="TheSans" w:hAnsi="TheSans" w:cs="TheSans"/>
          <w:bCs/>
        </w:rPr>
        <w:t xml:space="preserve"> </w:t>
      </w:r>
      <w:hyperlink r:id="rId5" w:history="1">
        <w:r w:rsidRPr="000F341E">
          <w:rPr>
            <w:rStyle w:val="Hyperlink"/>
            <w:rFonts w:ascii="TheSans" w:hAnsi="TheSans" w:cs="TheSans"/>
            <w:bCs/>
            <w:sz w:val="20"/>
            <w:szCs w:val="20"/>
          </w:rPr>
          <w:t>https://www.instagram.com/alwathaaeq.co/</w:t>
        </w:r>
      </w:hyperlink>
    </w:p>
    <w:p w14:paraId="16A6474F" w14:textId="098D5A06" w:rsidR="00895E74" w:rsidRPr="000F341E" w:rsidRDefault="00895E74">
      <w:pPr>
        <w:spacing w:before="240"/>
        <w:rPr>
          <w:rStyle w:val="Hyperlink"/>
          <w:rFonts w:ascii="TheSans" w:hAnsi="TheSans" w:cs="TheSans"/>
          <w:bCs/>
          <w:sz w:val="24"/>
          <w:szCs w:val="24"/>
        </w:rPr>
      </w:pPr>
      <w:r w:rsidRPr="008E2066">
        <w:rPr>
          <w:rFonts w:ascii="TheSans" w:hAnsi="TheSans" w:cs="TheSans"/>
          <w:b/>
        </w:rPr>
        <w:t>Instagram</w:t>
      </w:r>
      <w:r w:rsidR="005019FC" w:rsidRPr="008E2066">
        <w:rPr>
          <w:rFonts w:ascii="TheSans" w:hAnsi="TheSans" w:cs="TheSans"/>
          <w:b/>
        </w:rPr>
        <w:t xml:space="preserve"> </w:t>
      </w:r>
      <w:r w:rsidRPr="008E2066">
        <w:rPr>
          <w:rFonts w:ascii="TheSans" w:hAnsi="TheSans" w:cs="TheSans"/>
          <w:b/>
        </w:rPr>
        <w:t>(2):</w:t>
      </w:r>
      <w:r w:rsidRPr="008E2066">
        <w:rPr>
          <w:rStyle w:val="Hyperlink"/>
          <w:rFonts w:ascii="TheSans" w:hAnsi="TheSans" w:cs="TheSans"/>
          <w:bCs/>
          <w:sz w:val="28"/>
          <w:szCs w:val="28"/>
        </w:rPr>
        <w:t xml:space="preserve"> </w:t>
      </w:r>
      <w:r w:rsidRPr="000F341E">
        <w:rPr>
          <w:rStyle w:val="Hyperlink"/>
          <w:rFonts w:ascii="TheSans" w:hAnsi="TheSans" w:cs="TheSans"/>
          <w:bCs/>
          <w:sz w:val="20"/>
          <w:szCs w:val="20"/>
        </w:rPr>
        <w:t>https://www.instagram.com/archmmansour/?igshid=YmMyMTA2M2Y%3D</w:t>
      </w:r>
    </w:p>
    <w:p w14:paraId="230605CB" w14:textId="1C571707" w:rsidR="00895E74" w:rsidRPr="000F341E" w:rsidRDefault="00895E74">
      <w:pPr>
        <w:spacing w:before="240"/>
        <w:rPr>
          <w:rFonts w:ascii="TheSans" w:hAnsi="TheSans" w:cs="TheSans"/>
          <w:bCs/>
          <w:sz w:val="24"/>
          <w:szCs w:val="24"/>
        </w:rPr>
      </w:pPr>
      <w:r w:rsidRPr="008E2066">
        <w:rPr>
          <w:rFonts w:ascii="TheSans" w:hAnsi="TheSans" w:cs="TheSans"/>
          <w:b/>
        </w:rPr>
        <w:t>Twitter (1) :</w:t>
      </w:r>
      <w:r w:rsidRPr="000F341E">
        <w:rPr>
          <w:rStyle w:val="Hyperlink"/>
          <w:rFonts w:ascii="TheSans" w:hAnsi="TheSans" w:cs="TheSans"/>
          <w:bCs/>
          <w:sz w:val="24"/>
          <w:szCs w:val="24"/>
        </w:rPr>
        <w:t xml:space="preserve"> </w:t>
      </w:r>
      <w:hyperlink r:id="rId6" w:history="1">
        <w:r w:rsidRPr="000F341E">
          <w:rPr>
            <w:rStyle w:val="Hyperlink"/>
            <w:rFonts w:ascii="TheSans" w:hAnsi="TheSans" w:cs="TheSans"/>
            <w:bCs/>
            <w:sz w:val="20"/>
            <w:szCs w:val="20"/>
          </w:rPr>
          <w:t>https://twitter.com/archmmansour?t=Li6wxPdODDskytSNMLyCmw&amp;s=08</w:t>
        </w:r>
      </w:hyperlink>
    </w:p>
    <w:p w14:paraId="24B4C331" w14:textId="63622297" w:rsidR="00895E74" w:rsidRPr="000F341E" w:rsidRDefault="00895E74">
      <w:pPr>
        <w:spacing w:before="240"/>
        <w:rPr>
          <w:rFonts w:ascii="TheSans" w:hAnsi="TheSans" w:cs="TheSans"/>
          <w:bCs/>
          <w:sz w:val="20"/>
          <w:szCs w:val="20"/>
        </w:rPr>
      </w:pPr>
      <w:r w:rsidRPr="008E2066">
        <w:rPr>
          <w:rFonts w:ascii="TheSans" w:hAnsi="TheSans" w:cs="TheSans"/>
          <w:b/>
        </w:rPr>
        <w:t>Twitter (2):</w:t>
      </w:r>
      <w:r w:rsidRPr="000F341E">
        <w:rPr>
          <w:rFonts w:ascii="TheSans" w:hAnsi="TheSans" w:cs="TheSans"/>
          <w:bCs/>
          <w:sz w:val="24"/>
          <w:szCs w:val="24"/>
        </w:rPr>
        <w:t xml:space="preserve"> </w:t>
      </w:r>
      <w:r w:rsidRPr="000F341E">
        <w:rPr>
          <w:rStyle w:val="Hyperlink"/>
          <w:rFonts w:ascii="TheSans" w:hAnsi="TheSans" w:cs="TheSans"/>
          <w:bCs/>
          <w:sz w:val="20"/>
          <w:szCs w:val="20"/>
        </w:rPr>
        <w:t>https://twitter.com/alwathaaeq?t=fUqLqwkOzz_YUZk15zMmlQ&amp;s=08</w:t>
      </w:r>
    </w:p>
    <w:p w14:paraId="00000009" w14:textId="3F5D2A07" w:rsidR="002046DC" w:rsidRPr="000F341E" w:rsidRDefault="00BC75AB">
      <w:pPr>
        <w:spacing w:before="240"/>
        <w:rPr>
          <w:rFonts w:ascii="TheSans" w:hAnsi="TheSans" w:cs="TheSans"/>
          <w:bCs/>
          <w:sz w:val="20"/>
          <w:szCs w:val="20"/>
        </w:rPr>
      </w:pPr>
      <w:r w:rsidRPr="008E2066">
        <w:rPr>
          <w:rFonts w:ascii="TheSans" w:hAnsi="TheSans" w:cs="TheSans"/>
          <w:b/>
        </w:rPr>
        <w:t>Contact email:</w:t>
      </w:r>
      <w:r w:rsidRPr="000F341E">
        <w:rPr>
          <w:rFonts w:ascii="TheSans" w:hAnsi="TheSans" w:cs="TheSans"/>
          <w:bCs/>
          <w:sz w:val="20"/>
          <w:szCs w:val="20"/>
        </w:rPr>
        <w:t xml:space="preserve"> </w:t>
      </w:r>
      <w:r w:rsidR="00895E74" w:rsidRPr="000F341E">
        <w:rPr>
          <w:rStyle w:val="Hyperlink"/>
          <w:rFonts w:ascii="TheSans" w:hAnsi="TheSans" w:cs="TheSans"/>
          <w:bCs/>
          <w:sz w:val="20"/>
          <w:szCs w:val="20"/>
        </w:rPr>
        <w:t>a.mohammed@alwathaaeq.sa</w:t>
      </w:r>
    </w:p>
    <w:p w14:paraId="438C91F4" w14:textId="7A2EFD3B" w:rsidR="00600DCB" w:rsidRDefault="00BC75AB" w:rsidP="00600DCB">
      <w:pPr>
        <w:spacing w:before="240"/>
        <w:rPr>
          <w:rFonts w:ascii="TheSans" w:hAnsi="TheSans" w:cs="TheSans"/>
          <w:bCs/>
          <w:sz w:val="20"/>
          <w:szCs w:val="20"/>
        </w:rPr>
      </w:pPr>
      <w:r w:rsidRPr="008E2066">
        <w:rPr>
          <w:rFonts w:ascii="TheSans" w:hAnsi="TheSans" w:cs="TheSans"/>
          <w:b/>
        </w:rPr>
        <w:t>Firm Location:</w:t>
      </w:r>
      <w:r w:rsidRPr="000F341E">
        <w:rPr>
          <w:rFonts w:ascii="TheSans" w:hAnsi="TheSans" w:cs="TheSans"/>
          <w:bCs/>
          <w:sz w:val="20"/>
          <w:szCs w:val="20"/>
        </w:rPr>
        <w:t xml:space="preserve"> </w:t>
      </w:r>
      <w:hyperlink r:id="rId7" w:history="1">
        <w:r w:rsidR="00600DCB" w:rsidRPr="00C84F84">
          <w:rPr>
            <w:rStyle w:val="Hyperlink"/>
            <w:rFonts w:ascii="TheSans" w:hAnsi="TheSans" w:cs="TheSans"/>
            <w:bCs/>
            <w:sz w:val="20"/>
            <w:szCs w:val="20"/>
          </w:rPr>
          <w:t>https://goo.gl/maps/vW7PbrKV79Sy3Yun9</w:t>
        </w:r>
      </w:hyperlink>
    </w:p>
    <w:p w14:paraId="00000014" w14:textId="549DC49D" w:rsidR="002046DC" w:rsidRPr="00600DCB" w:rsidRDefault="00BC75AB" w:rsidP="00600DCB">
      <w:pPr>
        <w:spacing w:before="240"/>
        <w:rPr>
          <w:rFonts w:ascii="TheSans" w:hAnsi="TheSans" w:cs="TheSans"/>
          <w:bCs/>
          <w:sz w:val="20"/>
          <w:szCs w:val="20"/>
        </w:rPr>
      </w:pPr>
      <w:r w:rsidRPr="008219ED">
        <w:rPr>
          <w:rFonts w:ascii="TheSans" w:hAnsi="TheSans" w:cs="TheSans"/>
          <w:b/>
          <w:color w:val="C00000"/>
          <w:sz w:val="32"/>
          <w:szCs w:val="32"/>
        </w:rPr>
        <w:lastRenderedPageBreak/>
        <w:t>Photographer</w:t>
      </w:r>
      <w:r w:rsidR="008219ED">
        <w:rPr>
          <w:rFonts w:ascii="TheSans" w:hAnsi="TheSans" w:cs="TheSans" w:hint="cs"/>
          <w:b/>
          <w:color w:val="C00000"/>
          <w:sz w:val="32"/>
          <w:szCs w:val="32"/>
          <w:rtl/>
        </w:rPr>
        <w:t>:</w:t>
      </w:r>
    </w:p>
    <w:p w14:paraId="00000016" w14:textId="65E2891E" w:rsidR="002046DC" w:rsidRPr="008219ED" w:rsidRDefault="00BC75AB">
      <w:pPr>
        <w:spacing w:before="240"/>
        <w:rPr>
          <w:rFonts w:ascii="TheSans" w:hAnsi="TheSans" w:cs="TheSans"/>
          <w:bCs/>
          <w:sz w:val="24"/>
          <w:szCs w:val="24"/>
        </w:rPr>
      </w:pPr>
      <w:r w:rsidRPr="008219ED">
        <w:rPr>
          <w:rFonts w:ascii="TheSans" w:hAnsi="TheSans" w:cs="TheSans"/>
          <w:b/>
        </w:rPr>
        <w:t>Photographer’s Website:</w:t>
      </w:r>
      <w:r w:rsidR="00862B76" w:rsidRPr="000F341E">
        <w:rPr>
          <w:rFonts w:ascii="TheSans" w:hAnsi="TheSans" w:cs="TheSans"/>
          <w:bCs/>
          <w:sz w:val="24"/>
          <w:szCs w:val="24"/>
        </w:rPr>
        <w:t xml:space="preserve"> </w:t>
      </w:r>
      <w:r w:rsidR="00862B76" w:rsidRPr="008219ED">
        <w:rPr>
          <w:rFonts w:ascii="TheSans" w:hAnsi="TheSans" w:cs="TheSans"/>
          <w:bCs/>
          <w:sz w:val="24"/>
          <w:szCs w:val="24"/>
        </w:rPr>
        <w:t>https://www.zamakan.com/</w:t>
      </w:r>
    </w:p>
    <w:p w14:paraId="00000017" w14:textId="2A8F1D9D" w:rsidR="002046DC" w:rsidRPr="008219ED" w:rsidRDefault="00BC75AB">
      <w:pPr>
        <w:spacing w:before="240"/>
        <w:rPr>
          <w:rFonts w:ascii="TheSans" w:hAnsi="TheSans" w:cs="TheSans"/>
          <w:bCs/>
          <w:sz w:val="24"/>
          <w:szCs w:val="24"/>
          <w:rtl/>
        </w:rPr>
      </w:pPr>
      <w:r w:rsidRPr="008219ED">
        <w:rPr>
          <w:rFonts w:ascii="TheSans" w:hAnsi="TheSans" w:cs="TheSans"/>
          <w:b/>
        </w:rPr>
        <w:t>Photographer’s e-mail</w:t>
      </w:r>
      <w:r w:rsidRPr="008219ED">
        <w:rPr>
          <w:rFonts w:ascii="TheSans" w:hAnsi="TheSans" w:cs="TheSans"/>
          <w:bCs/>
          <w:sz w:val="24"/>
          <w:szCs w:val="24"/>
        </w:rPr>
        <w:t>:</w:t>
      </w:r>
      <w:r w:rsidR="00862B76" w:rsidRPr="008219ED">
        <w:rPr>
          <w:rFonts w:ascii="TheSans" w:hAnsi="TheSans" w:cs="TheSans"/>
          <w:bCs/>
          <w:sz w:val="24"/>
          <w:szCs w:val="24"/>
        </w:rPr>
        <w:t xml:space="preserve"> ZamakanCom@gmail.com</w:t>
      </w:r>
    </w:p>
    <w:p w14:paraId="00000019" w14:textId="135E36F2" w:rsidR="002046DC" w:rsidRPr="00600DCB" w:rsidRDefault="00BC75AB" w:rsidP="00600DCB">
      <w:pPr>
        <w:spacing w:before="240"/>
        <w:rPr>
          <w:rFonts w:ascii="TheSans" w:hAnsi="TheSans" w:cs="TheSans"/>
          <w:b/>
          <w:color w:val="C00000"/>
          <w:sz w:val="32"/>
          <w:szCs w:val="32"/>
          <w:rtl/>
        </w:rPr>
      </w:pPr>
      <w:r w:rsidRPr="00600DCB">
        <w:rPr>
          <w:rFonts w:ascii="TheSans" w:hAnsi="TheSans" w:cs="TheSans"/>
          <w:b/>
          <w:color w:val="C00000"/>
          <w:sz w:val="32"/>
          <w:szCs w:val="32"/>
        </w:rPr>
        <w:t>Project Description</w:t>
      </w:r>
      <w:r w:rsidR="00600DCB">
        <w:rPr>
          <w:rFonts w:ascii="TheSans" w:hAnsi="TheSans" w:cs="TheSans"/>
          <w:b/>
          <w:color w:val="C00000"/>
          <w:sz w:val="32"/>
          <w:szCs w:val="32"/>
        </w:rPr>
        <w:t>:</w:t>
      </w:r>
    </w:p>
    <w:p w14:paraId="1DA3A3AB" w14:textId="68F4DF94" w:rsidR="00E30945" w:rsidRPr="00600DCB" w:rsidRDefault="008E2066" w:rsidP="000F341E">
      <w:pPr>
        <w:pStyle w:val="7"/>
        <w:jc w:val="center"/>
        <w:rPr>
          <w:rFonts w:ascii="TheSans" w:hAnsi="TheSans" w:cs="TheSans"/>
          <w:bCs w:val="0"/>
          <w:sz w:val="12"/>
          <w:szCs w:val="12"/>
        </w:rPr>
      </w:pPr>
      <w:r w:rsidRPr="00600DCB">
        <w:rPr>
          <w:rFonts w:ascii="TheSans" w:hAnsi="TheSans" w:cs="TheSans"/>
          <w:bCs w:val="0"/>
          <w:sz w:val="32"/>
          <w:szCs w:val="32"/>
        </w:rPr>
        <w:t>The</w:t>
      </w:r>
      <w:r w:rsidR="00E30945" w:rsidRPr="00600DCB">
        <w:rPr>
          <w:rFonts w:ascii="TheSans" w:hAnsi="TheSans" w:cs="TheSans"/>
          <w:bCs w:val="0"/>
          <w:sz w:val="32"/>
          <w:szCs w:val="32"/>
        </w:rPr>
        <w:t xml:space="preserve"> Courtyard Houses</w:t>
      </w:r>
    </w:p>
    <w:p w14:paraId="29CAA247" w14:textId="0E4E201C" w:rsidR="00E30945" w:rsidRPr="00600DCB" w:rsidRDefault="00E30945" w:rsidP="00E30945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>The courtyard houses a</w:t>
      </w:r>
      <w:r w:rsidR="00862B76" w:rsidRPr="00600DCB">
        <w:rPr>
          <w:rFonts w:ascii="TheSans" w:hAnsi="TheSans" w:cs="TheSans"/>
          <w:bCs/>
        </w:rPr>
        <w:t xml:space="preserve"> </w:t>
      </w:r>
      <w:r w:rsidRPr="00600DCB">
        <w:rPr>
          <w:rFonts w:ascii="TheSans" w:hAnsi="TheSans" w:cs="TheSans"/>
          <w:bCs/>
        </w:rPr>
        <w:t xml:space="preserve">new project in the heart of </w:t>
      </w:r>
      <w:r w:rsidR="00862B76" w:rsidRPr="00600DCB">
        <w:rPr>
          <w:rFonts w:ascii="TheSans" w:hAnsi="TheSans" w:cs="TheSans"/>
          <w:bCs/>
        </w:rPr>
        <w:t>Riyadh</w:t>
      </w:r>
      <w:r w:rsidRPr="00600DCB">
        <w:rPr>
          <w:rFonts w:ascii="TheSans" w:hAnsi="TheSans" w:cs="TheSans"/>
          <w:bCs/>
        </w:rPr>
        <w:t>.</w:t>
      </w:r>
    </w:p>
    <w:p w14:paraId="32400974" w14:textId="091A0FF6" w:rsidR="00E30945" w:rsidRPr="00600DCB" w:rsidRDefault="00E30945" w:rsidP="008E2066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>2 town houses and 6 apartments, every single unit with a very private access.</w:t>
      </w:r>
    </w:p>
    <w:p w14:paraId="5DB778A9" w14:textId="3714A363" w:rsidR="00E30945" w:rsidRPr="00600DCB" w:rsidRDefault="00E30945" w:rsidP="00E30945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>It is a living concept space, once entered you are just with this of nature light and beautiful view through to the courtyard.</w:t>
      </w:r>
    </w:p>
    <w:p w14:paraId="2C5111FF" w14:textId="12D4CF1C" w:rsidR="00E30945" w:rsidRPr="00600DCB" w:rsidRDefault="00E30945" w:rsidP="008E2066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>connected to courtyard by a light glass partitions with a hidden structure opening that up to create a family home with circulation.</w:t>
      </w:r>
    </w:p>
    <w:p w14:paraId="6439AEC2" w14:textId="60563EE6" w:rsidR="00E30945" w:rsidRPr="00600DCB" w:rsidRDefault="00E30945" w:rsidP="008E2066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>With a movable light partitions, functions were merged together to enjoy the day light &amp; view coming from the central courtyard.</w:t>
      </w:r>
    </w:p>
    <w:p w14:paraId="5F4206B8" w14:textId="67B7D78B" w:rsidR="00E30945" w:rsidRPr="00600DCB" w:rsidRDefault="00E30945" w:rsidP="008E2066">
      <w:pPr>
        <w:rPr>
          <w:rFonts w:ascii="TheSans" w:hAnsi="TheSans" w:cs="TheSans"/>
          <w:bCs/>
        </w:rPr>
      </w:pPr>
      <w:r w:rsidRPr="00600DCB">
        <w:rPr>
          <w:rFonts w:ascii="TheSans" w:hAnsi="TheSans" w:cs="TheSans"/>
          <w:bCs/>
        </w:rPr>
        <w:t xml:space="preserve"> the bedrooms</w:t>
      </w:r>
      <w:r w:rsidR="00862B76" w:rsidRPr="00600DCB">
        <w:rPr>
          <w:rFonts w:ascii="TheSans" w:hAnsi="TheSans" w:cs="TheSans"/>
          <w:bCs/>
        </w:rPr>
        <w:t xml:space="preserve"> in first floor</w:t>
      </w:r>
      <w:r w:rsidRPr="00600DCB">
        <w:rPr>
          <w:rFonts w:ascii="TheSans" w:hAnsi="TheSans" w:cs="TheSans"/>
          <w:bCs/>
        </w:rPr>
        <w:t xml:space="preserve">, makes you embrace the sunlight all day and connects you visually to the courtyard, by a upper terrace, serving the bedrooms as a private extension. </w:t>
      </w:r>
    </w:p>
    <w:p w14:paraId="24904022" w14:textId="369F0BBE" w:rsidR="000F341E" w:rsidRPr="00600DCB" w:rsidRDefault="00E30945" w:rsidP="00600DCB">
      <w:pPr>
        <w:rPr>
          <w:rFonts w:ascii="TheSans" w:hAnsi="TheSans" w:cs="TheSans"/>
          <w:bCs/>
          <w:rtl/>
        </w:rPr>
      </w:pPr>
      <w:r w:rsidRPr="00600DCB">
        <w:rPr>
          <w:rFonts w:ascii="TheSans" w:hAnsi="TheSans" w:cs="TheSans"/>
          <w:bCs/>
        </w:rPr>
        <w:t>The Kids bedrooms were designed with a high sense of Practicality &amp; functionality to feel like a child</w:t>
      </w:r>
      <w:r w:rsidR="00600DCB">
        <w:rPr>
          <w:rFonts w:ascii="TheSans" w:hAnsi="TheSans" w:cs="TheSans"/>
          <w:bCs/>
        </w:rPr>
        <w:t>.</w:t>
      </w:r>
      <w:bookmarkStart w:id="0" w:name="_GoBack"/>
      <w:bookmarkEnd w:id="0"/>
    </w:p>
    <w:p w14:paraId="0CBFCDBB" w14:textId="77777777" w:rsidR="000F341E" w:rsidRDefault="000F341E">
      <w:pPr>
        <w:spacing w:before="240" w:after="240"/>
        <w:rPr>
          <w:rFonts w:ascii="TheSans" w:hAnsi="TheSans" w:cs="TheSans"/>
          <w:bCs/>
          <w:color w:val="BFBFBF"/>
          <w:sz w:val="20"/>
          <w:szCs w:val="20"/>
          <w:rtl/>
        </w:rPr>
      </w:pPr>
    </w:p>
    <w:p w14:paraId="1320E566" w14:textId="47E2F8FA" w:rsidR="000F341E" w:rsidRDefault="000F341E">
      <w:pPr>
        <w:spacing w:before="240" w:after="240"/>
        <w:rPr>
          <w:rFonts w:ascii="TheSans" w:hAnsi="TheSans" w:cs="TheSans"/>
          <w:bCs/>
          <w:color w:val="BFBFBF"/>
          <w:sz w:val="20"/>
          <w:szCs w:val="20"/>
          <w:rtl/>
        </w:rPr>
      </w:pPr>
    </w:p>
    <w:p w14:paraId="697679E4" w14:textId="012F0F53" w:rsidR="008E2066" w:rsidRDefault="008E2066">
      <w:pPr>
        <w:spacing w:before="240" w:after="240"/>
        <w:rPr>
          <w:rFonts w:ascii="TheSans" w:hAnsi="TheSans" w:cs="TheSans"/>
          <w:bCs/>
          <w:color w:val="BFBFBF"/>
          <w:sz w:val="20"/>
          <w:szCs w:val="20"/>
          <w:rtl/>
        </w:rPr>
      </w:pPr>
    </w:p>
    <w:p w14:paraId="056BA16C" w14:textId="0D1C5D8B" w:rsidR="008E2066" w:rsidRDefault="008E2066">
      <w:pPr>
        <w:spacing w:before="240" w:after="240"/>
        <w:rPr>
          <w:rFonts w:ascii="TheSans" w:hAnsi="TheSans" w:cs="TheSans"/>
          <w:bCs/>
          <w:color w:val="BFBFBF"/>
          <w:sz w:val="20"/>
          <w:szCs w:val="20"/>
          <w:rtl/>
        </w:rPr>
      </w:pPr>
    </w:p>
    <w:p w14:paraId="143D4A0A" w14:textId="77777777" w:rsidR="008E2066" w:rsidRDefault="008E2066">
      <w:pPr>
        <w:spacing w:before="240" w:after="240"/>
        <w:rPr>
          <w:rFonts w:ascii="TheSans" w:hAnsi="TheSans" w:cs="TheSans"/>
          <w:bCs/>
          <w:color w:val="BFBFBF"/>
          <w:sz w:val="20"/>
          <w:szCs w:val="20"/>
          <w:rtl/>
        </w:rPr>
      </w:pPr>
    </w:p>
    <w:p w14:paraId="00000021" w14:textId="35442A8B" w:rsidR="002046DC" w:rsidRPr="000F341E" w:rsidRDefault="00BC75AB" w:rsidP="000F341E">
      <w:pPr>
        <w:pStyle w:val="9"/>
        <w:spacing w:after="240"/>
        <w:rPr>
          <w:rFonts w:ascii="TheSans" w:hAnsi="TheSans" w:cs="TheSans"/>
        </w:rPr>
      </w:pPr>
      <w:r w:rsidRPr="000F341E">
        <w:rPr>
          <w:rFonts w:ascii="TheSans" w:hAnsi="TheSans" w:cs="TheSans"/>
        </w:rPr>
        <w:t>Translations</w:t>
      </w:r>
    </w:p>
    <w:p w14:paraId="00000023" w14:textId="22A7C33B" w:rsidR="002046DC" w:rsidRPr="000F341E" w:rsidRDefault="00BC75AB">
      <w:pPr>
        <w:spacing w:before="240"/>
        <w:rPr>
          <w:rFonts w:ascii="TheSans" w:hAnsi="TheSans" w:cs="TheSans"/>
          <w:b/>
          <w:sz w:val="20"/>
          <w:szCs w:val="20"/>
        </w:rPr>
      </w:pPr>
      <w:r w:rsidRPr="000F341E">
        <w:rPr>
          <w:rFonts w:ascii="TheSans" w:hAnsi="TheSans" w:cs="TheSans"/>
          <w:b/>
          <w:sz w:val="20"/>
          <w:szCs w:val="20"/>
        </w:rPr>
        <w:t>Spanish:</w:t>
      </w:r>
    </w:p>
    <w:p w14:paraId="3C6419B5" w14:textId="77777777" w:rsidR="00492578" w:rsidRPr="000F341E" w:rsidRDefault="00492578" w:rsidP="00492578">
      <w:pPr>
        <w:spacing w:before="240"/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lastRenderedPageBreak/>
        <w:t>Casas Tranquilas con Patio</w:t>
      </w:r>
    </w:p>
    <w:p w14:paraId="5D082D48" w14:textId="77777777" w:rsidR="00492578" w:rsidRPr="000F341E" w:rsidRDefault="00492578" w:rsidP="00492578">
      <w:pPr>
        <w:spacing w:before="240"/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Las casas tranquilas con patio es un nuevo proyecto en el coraz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n de Riyadh. Consta de 2 casas adosadas y 6 apartamentos, cada unidad con acceso muy privado.</w:t>
      </w:r>
    </w:p>
    <w:p w14:paraId="1DF5A4EC" w14:textId="77777777" w:rsidR="00492578" w:rsidRPr="000F341E" w:rsidRDefault="00492578" w:rsidP="00492578">
      <w:pPr>
        <w:spacing w:before="240"/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Es un espacio conceptual de vida, una vez que entras, est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s rodeado de luz natural y una hermosa vista hacia el patio. Conectado al patio por particiones de vidrio liviano con una estructura oculta que se abre para crear un hogar familiar con circulaci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n.</w:t>
      </w:r>
    </w:p>
    <w:p w14:paraId="5B30ACB5" w14:textId="77777777" w:rsidR="00492578" w:rsidRPr="000F341E" w:rsidRDefault="00492578" w:rsidP="00492578">
      <w:pPr>
        <w:spacing w:before="240"/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Con particiones de luz m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viles, las funciones se fusionaron para disfrutar de la luz del d</w:t>
      </w:r>
      <w:r w:rsidRPr="000F341E">
        <w:rPr>
          <w:rFonts w:ascii="Calibri" w:hAnsi="Calibri" w:cs="Calibri"/>
          <w:bCs/>
          <w:sz w:val="20"/>
          <w:szCs w:val="20"/>
        </w:rPr>
        <w:t>í</w:t>
      </w:r>
      <w:r w:rsidRPr="000F341E">
        <w:rPr>
          <w:rFonts w:ascii="TheSans" w:hAnsi="TheSans" w:cs="TheSans"/>
          <w:bCs/>
          <w:sz w:val="20"/>
          <w:szCs w:val="20"/>
        </w:rPr>
        <w:t>a y la vista proveniente del patio central.</w:t>
      </w:r>
    </w:p>
    <w:p w14:paraId="2EF15FC1" w14:textId="77777777" w:rsidR="000F341E" w:rsidRDefault="00492578" w:rsidP="000F341E">
      <w:pPr>
        <w:spacing w:before="240"/>
        <w:rPr>
          <w:rFonts w:ascii="TheSans" w:hAnsi="TheSans" w:cs="TheSans"/>
          <w:bCs/>
          <w:sz w:val="20"/>
          <w:szCs w:val="20"/>
          <w:rtl/>
        </w:rPr>
      </w:pPr>
      <w:r w:rsidRPr="000F341E">
        <w:rPr>
          <w:rFonts w:ascii="TheSans" w:hAnsi="TheSans" w:cs="TheSans"/>
          <w:bCs/>
          <w:sz w:val="20"/>
          <w:szCs w:val="20"/>
        </w:rPr>
        <w:t>Las habitaciones en el primer piso te permiten abrazar la luz del sol todo el d</w:t>
      </w:r>
      <w:r w:rsidRPr="000F341E">
        <w:rPr>
          <w:rFonts w:ascii="Calibri" w:hAnsi="Calibri" w:cs="Calibri"/>
          <w:bCs/>
          <w:sz w:val="20"/>
          <w:szCs w:val="20"/>
        </w:rPr>
        <w:t>í</w:t>
      </w:r>
      <w:r w:rsidRPr="000F341E">
        <w:rPr>
          <w:rFonts w:ascii="TheSans" w:hAnsi="TheSans" w:cs="TheSans"/>
          <w:bCs/>
          <w:sz w:val="20"/>
          <w:szCs w:val="20"/>
        </w:rPr>
        <w:t>a y te conectan visualmente con el patio, a trav</w:t>
      </w:r>
      <w:r w:rsidRPr="000F341E">
        <w:rPr>
          <w:rFonts w:ascii="Calibri" w:hAnsi="Calibri" w:cs="Calibri"/>
          <w:bCs/>
          <w:sz w:val="20"/>
          <w:szCs w:val="20"/>
        </w:rPr>
        <w:t>é</w:t>
      </w:r>
      <w:r w:rsidRPr="000F341E">
        <w:rPr>
          <w:rFonts w:ascii="TheSans" w:hAnsi="TheSans" w:cs="TheSans"/>
          <w:bCs/>
          <w:sz w:val="20"/>
          <w:szCs w:val="20"/>
        </w:rPr>
        <w:t>s de una terraza superior que sirve como una extensi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n privada para las habitaciones.</w:t>
      </w:r>
    </w:p>
    <w:p w14:paraId="18F96356" w14:textId="46225A5C" w:rsidR="00492578" w:rsidRPr="000F341E" w:rsidRDefault="00492578" w:rsidP="000F341E">
      <w:pPr>
        <w:spacing w:before="240"/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Las habitaciones para ni</w:t>
      </w:r>
      <w:r w:rsidRPr="000F341E">
        <w:rPr>
          <w:rFonts w:ascii="Calibri" w:hAnsi="Calibri" w:cs="Calibri"/>
          <w:bCs/>
          <w:sz w:val="20"/>
          <w:szCs w:val="20"/>
        </w:rPr>
        <w:t>ñ</w:t>
      </w:r>
      <w:r w:rsidRPr="000F341E">
        <w:rPr>
          <w:rFonts w:ascii="TheSans" w:hAnsi="TheSans" w:cs="TheSans"/>
          <w:bCs/>
          <w:sz w:val="20"/>
          <w:szCs w:val="20"/>
        </w:rPr>
        <w:t>os fueron dise</w:t>
      </w:r>
      <w:r w:rsidRPr="000F341E">
        <w:rPr>
          <w:rFonts w:ascii="Calibri" w:hAnsi="Calibri" w:cs="Calibri"/>
          <w:bCs/>
          <w:sz w:val="20"/>
          <w:szCs w:val="20"/>
        </w:rPr>
        <w:t>ñ</w:t>
      </w:r>
      <w:r w:rsidRPr="000F341E">
        <w:rPr>
          <w:rFonts w:ascii="TheSans" w:hAnsi="TheSans" w:cs="TheSans"/>
          <w:bCs/>
          <w:sz w:val="20"/>
          <w:szCs w:val="20"/>
        </w:rPr>
        <w:t>adas con un alto sentido de practicidad y funcionalidad para que se sientan como ni</w:t>
      </w:r>
      <w:r w:rsidRPr="000F341E">
        <w:rPr>
          <w:rFonts w:ascii="Calibri" w:hAnsi="Calibri" w:cs="Calibri"/>
          <w:bCs/>
          <w:sz w:val="20"/>
          <w:szCs w:val="20"/>
        </w:rPr>
        <w:t>ñ</w:t>
      </w:r>
      <w:r w:rsidRPr="000F341E">
        <w:rPr>
          <w:rFonts w:ascii="TheSans" w:hAnsi="TheSans" w:cs="TheSans"/>
          <w:bCs/>
          <w:sz w:val="20"/>
          <w:szCs w:val="20"/>
        </w:rPr>
        <w:t>os.</w:t>
      </w:r>
    </w:p>
    <w:p w14:paraId="5074A094" w14:textId="6DE9F6EC" w:rsidR="00AA3684" w:rsidRPr="000F341E" w:rsidRDefault="00BC75AB" w:rsidP="00070E48">
      <w:pPr>
        <w:spacing w:before="240"/>
        <w:rPr>
          <w:rFonts w:ascii="TheSans" w:hAnsi="TheSans" w:cs="TheSans"/>
          <w:b/>
          <w:sz w:val="20"/>
          <w:szCs w:val="20"/>
        </w:rPr>
      </w:pPr>
      <w:r w:rsidRPr="000F341E">
        <w:rPr>
          <w:rFonts w:ascii="TheSans" w:hAnsi="TheSans" w:cs="TheSans"/>
          <w:b/>
          <w:sz w:val="20"/>
          <w:szCs w:val="20"/>
        </w:rPr>
        <w:t>Portuguese:</w:t>
      </w:r>
    </w:p>
    <w:p w14:paraId="7BB2B998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Casas Tranquilas com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</w:t>
      </w:r>
    </w:p>
    <w:p w14:paraId="5FAE2BA2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As casas tranquilas com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 s</w:t>
      </w:r>
      <w:r w:rsidRPr="000F341E">
        <w:rPr>
          <w:rFonts w:ascii="Calibri" w:hAnsi="Calibri" w:cs="Calibri"/>
          <w:bCs/>
          <w:sz w:val="20"/>
          <w:szCs w:val="20"/>
        </w:rPr>
        <w:t>ã</w:t>
      </w:r>
      <w:r w:rsidRPr="000F341E">
        <w:rPr>
          <w:rFonts w:ascii="TheSans" w:hAnsi="TheSans" w:cs="TheSans"/>
          <w:bCs/>
          <w:sz w:val="20"/>
          <w:szCs w:val="20"/>
        </w:rPr>
        <w:t>o um novo projeto no cora</w:t>
      </w:r>
      <w:r w:rsidRPr="000F341E">
        <w:rPr>
          <w:rFonts w:ascii="Calibri" w:hAnsi="Calibri" w:cs="Calibri"/>
          <w:bCs/>
          <w:sz w:val="20"/>
          <w:szCs w:val="20"/>
        </w:rPr>
        <w:t>çã</w:t>
      </w:r>
      <w:r w:rsidRPr="000F341E">
        <w:rPr>
          <w:rFonts w:ascii="TheSans" w:hAnsi="TheSans" w:cs="TheSans"/>
          <w:bCs/>
          <w:sz w:val="20"/>
          <w:szCs w:val="20"/>
        </w:rPr>
        <w:t>o de Riyadh. Consiste em 2 casas geminadas e 6 apartamentos, cada unidade com acesso muito privado.</w:t>
      </w:r>
    </w:p>
    <w:p w14:paraId="17C1DE2D" w14:textId="77777777" w:rsidR="000F341E" w:rsidRDefault="000F341E" w:rsidP="00492578">
      <w:pPr>
        <w:rPr>
          <w:rFonts w:ascii="TheSans" w:hAnsi="TheSans" w:cs="TheSans"/>
          <w:bCs/>
          <w:sz w:val="20"/>
          <w:szCs w:val="20"/>
          <w:rtl/>
        </w:rPr>
      </w:pPr>
    </w:p>
    <w:p w14:paraId="45DCCFB9" w14:textId="7CF32AE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Calibri" w:hAnsi="Calibri" w:cs="Calibri"/>
          <w:bCs/>
          <w:sz w:val="20"/>
          <w:szCs w:val="20"/>
        </w:rPr>
        <w:t>É</w:t>
      </w:r>
      <w:r w:rsidRPr="000F341E">
        <w:rPr>
          <w:rFonts w:ascii="TheSans" w:hAnsi="TheSans" w:cs="TheSans"/>
          <w:bCs/>
          <w:sz w:val="20"/>
          <w:szCs w:val="20"/>
        </w:rPr>
        <w:t xml:space="preserve"> um espa</w:t>
      </w:r>
      <w:r w:rsidRPr="000F341E">
        <w:rPr>
          <w:rFonts w:ascii="Calibri" w:hAnsi="Calibri" w:cs="Calibri"/>
          <w:bCs/>
          <w:sz w:val="20"/>
          <w:szCs w:val="20"/>
        </w:rPr>
        <w:t>ç</w:t>
      </w:r>
      <w:r w:rsidRPr="000F341E">
        <w:rPr>
          <w:rFonts w:ascii="TheSans" w:hAnsi="TheSans" w:cs="TheSans"/>
          <w:bCs/>
          <w:sz w:val="20"/>
          <w:szCs w:val="20"/>
        </w:rPr>
        <w:t>o conceitual de vida, uma vez que voc</w:t>
      </w:r>
      <w:r w:rsidRPr="000F341E">
        <w:rPr>
          <w:rFonts w:ascii="Calibri" w:hAnsi="Calibri" w:cs="Calibri"/>
          <w:bCs/>
          <w:sz w:val="20"/>
          <w:szCs w:val="20"/>
        </w:rPr>
        <w:t>ê</w:t>
      </w:r>
      <w:r w:rsidRPr="000F341E">
        <w:rPr>
          <w:rFonts w:ascii="TheSans" w:hAnsi="TheSans" w:cs="TheSans"/>
          <w:bCs/>
          <w:sz w:val="20"/>
          <w:szCs w:val="20"/>
        </w:rPr>
        <w:t xml:space="preserve"> entra, est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 xml:space="preserve"> cercado pela luz natural e por uma bela vista para o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tio. Conectado ao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 por divis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rias de vidro leves com uma estrutura oculta que se abre para criar uma casa familiar com circula</w:t>
      </w:r>
      <w:r w:rsidRPr="000F341E">
        <w:rPr>
          <w:rFonts w:ascii="Calibri" w:hAnsi="Calibri" w:cs="Calibri"/>
          <w:bCs/>
          <w:sz w:val="20"/>
          <w:szCs w:val="20"/>
        </w:rPr>
        <w:t>çã</w:t>
      </w:r>
      <w:r w:rsidRPr="000F341E">
        <w:rPr>
          <w:rFonts w:ascii="TheSans" w:hAnsi="TheSans" w:cs="TheSans"/>
          <w:bCs/>
          <w:sz w:val="20"/>
          <w:szCs w:val="20"/>
        </w:rPr>
        <w:t>o.</w:t>
      </w:r>
    </w:p>
    <w:p w14:paraId="4319B856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</w:p>
    <w:p w14:paraId="4CC183B3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Com divis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rias de luz m</w:t>
      </w:r>
      <w:r w:rsidRPr="000F341E">
        <w:rPr>
          <w:rFonts w:ascii="Calibri" w:hAnsi="Calibri" w:cs="Calibri"/>
          <w:bCs/>
          <w:sz w:val="20"/>
          <w:szCs w:val="20"/>
        </w:rPr>
        <w:t>ó</w:t>
      </w:r>
      <w:r w:rsidRPr="000F341E">
        <w:rPr>
          <w:rFonts w:ascii="TheSans" w:hAnsi="TheSans" w:cs="TheSans"/>
          <w:bCs/>
          <w:sz w:val="20"/>
          <w:szCs w:val="20"/>
        </w:rPr>
        <w:t>veis, as fun</w:t>
      </w:r>
      <w:r w:rsidRPr="000F341E">
        <w:rPr>
          <w:rFonts w:ascii="Calibri" w:hAnsi="Calibri" w:cs="Calibri"/>
          <w:bCs/>
          <w:sz w:val="20"/>
          <w:szCs w:val="20"/>
        </w:rPr>
        <w:t>çõ</w:t>
      </w:r>
      <w:r w:rsidRPr="000F341E">
        <w:rPr>
          <w:rFonts w:ascii="TheSans" w:hAnsi="TheSans" w:cs="TheSans"/>
          <w:bCs/>
          <w:sz w:val="20"/>
          <w:szCs w:val="20"/>
        </w:rPr>
        <w:t>es foram mescladas para desfrutar da luz do dia e da vista proveniente do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 central.</w:t>
      </w:r>
    </w:p>
    <w:p w14:paraId="36E6364E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</w:p>
    <w:p w14:paraId="38BE24BB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  <w:r w:rsidRPr="000F341E">
        <w:rPr>
          <w:rFonts w:ascii="TheSans" w:hAnsi="TheSans" w:cs="TheSans"/>
          <w:bCs/>
          <w:sz w:val="20"/>
          <w:szCs w:val="20"/>
        </w:rPr>
        <w:t>Os quartos no primeiro andar permitem que voc</w:t>
      </w:r>
      <w:r w:rsidRPr="000F341E">
        <w:rPr>
          <w:rFonts w:ascii="Calibri" w:hAnsi="Calibri" w:cs="Calibri"/>
          <w:bCs/>
          <w:sz w:val="20"/>
          <w:szCs w:val="20"/>
        </w:rPr>
        <w:t>ê</w:t>
      </w:r>
      <w:r w:rsidRPr="000F341E">
        <w:rPr>
          <w:rFonts w:ascii="TheSans" w:hAnsi="TheSans" w:cs="TheSans"/>
          <w:bCs/>
          <w:sz w:val="20"/>
          <w:szCs w:val="20"/>
        </w:rPr>
        <w:t xml:space="preserve"> aproveite a luz do sol o dia todo e se conecta visualmente ao p</w:t>
      </w:r>
      <w:r w:rsidRPr="000F341E">
        <w:rPr>
          <w:rFonts w:ascii="Calibri" w:hAnsi="Calibri" w:cs="Calibri"/>
          <w:bCs/>
          <w:sz w:val="20"/>
          <w:szCs w:val="20"/>
        </w:rPr>
        <w:t>á</w:t>
      </w:r>
      <w:r w:rsidRPr="000F341E">
        <w:rPr>
          <w:rFonts w:ascii="TheSans" w:hAnsi="TheSans" w:cs="TheSans"/>
          <w:bCs/>
          <w:sz w:val="20"/>
          <w:szCs w:val="20"/>
        </w:rPr>
        <w:t>tio, atrav</w:t>
      </w:r>
      <w:r w:rsidRPr="000F341E">
        <w:rPr>
          <w:rFonts w:ascii="Calibri" w:hAnsi="Calibri" w:cs="Calibri"/>
          <w:bCs/>
          <w:sz w:val="20"/>
          <w:szCs w:val="20"/>
        </w:rPr>
        <w:t>é</w:t>
      </w:r>
      <w:r w:rsidRPr="000F341E">
        <w:rPr>
          <w:rFonts w:ascii="TheSans" w:hAnsi="TheSans" w:cs="TheSans"/>
          <w:bCs/>
          <w:sz w:val="20"/>
          <w:szCs w:val="20"/>
        </w:rPr>
        <w:t>s de um terra</w:t>
      </w:r>
      <w:r w:rsidRPr="000F341E">
        <w:rPr>
          <w:rFonts w:ascii="Calibri" w:hAnsi="Calibri" w:cs="Calibri"/>
          <w:bCs/>
          <w:sz w:val="20"/>
          <w:szCs w:val="20"/>
        </w:rPr>
        <w:t>ç</w:t>
      </w:r>
      <w:r w:rsidRPr="000F341E">
        <w:rPr>
          <w:rFonts w:ascii="TheSans" w:hAnsi="TheSans" w:cs="TheSans"/>
          <w:bCs/>
          <w:sz w:val="20"/>
          <w:szCs w:val="20"/>
        </w:rPr>
        <w:t>o superior que serve como uma extens</w:t>
      </w:r>
      <w:r w:rsidRPr="000F341E">
        <w:rPr>
          <w:rFonts w:ascii="Calibri" w:hAnsi="Calibri" w:cs="Calibri"/>
          <w:bCs/>
          <w:sz w:val="20"/>
          <w:szCs w:val="20"/>
        </w:rPr>
        <w:t>ã</w:t>
      </w:r>
      <w:r w:rsidRPr="000F341E">
        <w:rPr>
          <w:rFonts w:ascii="TheSans" w:hAnsi="TheSans" w:cs="TheSans"/>
          <w:bCs/>
          <w:sz w:val="20"/>
          <w:szCs w:val="20"/>
        </w:rPr>
        <w:t>o privada para os quartos.</w:t>
      </w:r>
    </w:p>
    <w:p w14:paraId="7193DDF7" w14:textId="77777777" w:rsidR="00492578" w:rsidRPr="000F341E" w:rsidRDefault="00492578" w:rsidP="00492578">
      <w:pPr>
        <w:rPr>
          <w:rFonts w:ascii="TheSans" w:hAnsi="TheSans" w:cs="TheSans"/>
          <w:bCs/>
          <w:sz w:val="20"/>
          <w:szCs w:val="20"/>
        </w:rPr>
      </w:pPr>
    </w:p>
    <w:p w14:paraId="00000027" w14:textId="0A2218D4" w:rsidR="002046DC" w:rsidRDefault="00492578" w:rsidP="00492578">
      <w:pPr>
        <w:rPr>
          <w:rFonts w:ascii="TheSans" w:hAnsi="TheSans" w:cs="TheSans"/>
          <w:bCs/>
          <w:sz w:val="20"/>
          <w:szCs w:val="20"/>
          <w:rtl/>
        </w:rPr>
      </w:pPr>
      <w:r w:rsidRPr="000F341E">
        <w:rPr>
          <w:rFonts w:ascii="TheSans" w:hAnsi="TheSans" w:cs="TheSans"/>
          <w:bCs/>
          <w:sz w:val="20"/>
          <w:szCs w:val="20"/>
        </w:rPr>
        <w:t>Os quartos das crian</w:t>
      </w:r>
      <w:r w:rsidRPr="000F341E">
        <w:rPr>
          <w:rFonts w:ascii="Calibri" w:hAnsi="Calibri" w:cs="Calibri"/>
          <w:bCs/>
          <w:sz w:val="20"/>
          <w:szCs w:val="20"/>
        </w:rPr>
        <w:t>ç</w:t>
      </w:r>
      <w:r w:rsidRPr="000F341E">
        <w:rPr>
          <w:rFonts w:ascii="TheSans" w:hAnsi="TheSans" w:cs="TheSans"/>
          <w:bCs/>
          <w:sz w:val="20"/>
          <w:szCs w:val="20"/>
        </w:rPr>
        <w:t>as foram projetados com um alto senso de praticidade e funcionalidade para que se sintam como crian</w:t>
      </w:r>
      <w:r w:rsidRPr="000F341E">
        <w:rPr>
          <w:rFonts w:ascii="Calibri" w:hAnsi="Calibri" w:cs="Calibri"/>
          <w:bCs/>
          <w:sz w:val="20"/>
          <w:szCs w:val="20"/>
        </w:rPr>
        <w:t>ç</w:t>
      </w:r>
      <w:r w:rsidRPr="000F341E">
        <w:rPr>
          <w:rFonts w:ascii="TheSans" w:hAnsi="TheSans" w:cs="TheSans"/>
          <w:bCs/>
          <w:sz w:val="20"/>
          <w:szCs w:val="20"/>
        </w:rPr>
        <w:t>as.</w:t>
      </w:r>
    </w:p>
    <w:p w14:paraId="591F319D" w14:textId="1CBF4182" w:rsidR="000F341E" w:rsidRDefault="000F341E" w:rsidP="00492578">
      <w:pPr>
        <w:rPr>
          <w:rFonts w:ascii="TheSans" w:hAnsi="TheSans" w:cs="TheSans"/>
          <w:bCs/>
          <w:sz w:val="20"/>
          <w:szCs w:val="20"/>
          <w:rtl/>
        </w:rPr>
      </w:pPr>
    </w:p>
    <w:p w14:paraId="7040DA29" w14:textId="434512B4" w:rsidR="000F341E" w:rsidRDefault="000F341E" w:rsidP="000F341E">
      <w:pPr>
        <w:spacing w:before="240"/>
        <w:rPr>
          <w:rFonts w:ascii="Segoe UI" w:hAnsi="Segoe UI" w:cs="Segoe UI"/>
          <w:b/>
          <w:bCs/>
          <w:shd w:val="clear" w:color="auto" w:fill="F7F7F8"/>
          <w:lang w:val="en-US"/>
        </w:rPr>
      </w:pPr>
      <w:r w:rsidRPr="000F341E">
        <w:rPr>
          <w:rFonts w:ascii="Segoe UI" w:hAnsi="Segoe UI" w:cs="Segoe UI"/>
          <w:b/>
          <w:bCs/>
          <w:shd w:val="clear" w:color="auto" w:fill="F7F7F8"/>
          <w:lang w:val="en-US"/>
        </w:rPr>
        <w:t>Italiana:</w:t>
      </w:r>
    </w:p>
    <w:p w14:paraId="54FC3805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  <w:r w:rsidRPr="000F341E">
        <w:rPr>
          <w:rFonts w:ascii="TheSans" w:hAnsi="TheSans" w:cs="TheSans"/>
          <w:sz w:val="20"/>
          <w:szCs w:val="20"/>
          <w:lang w:val="en-US"/>
        </w:rPr>
        <w:t>Le tranquille case con cortile sono un nuovo progetto nel cuore di Riyadh. Si compongono di 2 case a schiera e 6 appartamenti, ognuna con un accesso molto privato.</w:t>
      </w:r>
    </w:p>
    <w:p w14:paraId="6AFE0AAE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</w:p>
    <w:p w14:paraId="2EECA082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  <w:r w:rsidRPr="000F341E">
        <w:rPr>
          <w:rFonts w:ascii="TheSans" w:hAnsi="TheSans" w:cs="TheSans"/>
          <w:sz w:val="20"/>
          <w:szCs w:val="20"/>
          <w:lang w:val="en-US"/>
        </w:rPr>
        <w:t>Si tratta di uno spazio concettuale di vita, una volta entrati sarete circondati dalla luce naturale e da una bellissima vista sul cortile. Collegato al cortile da partizioni in vetro leggero con una struttura nascosta che si apre per creare una casa familiare con circolazione.</w:t>
      </w:r>
    </w:p>
    <w:p w14:paraId="46D67943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</w:p>
    <w:p w14:paraId="2CF6D79B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  <w:r w:rsidRPr="000F341E">
        <w:rPr>
          <w:rFonts w:ascii="TheSans" w:hAnsi="TheSans" w:cs="TheSans"/>
          <w:sz w:val="20"/>
          <w:szCs w:val="20"/>
          <w:lang w:val="en-US"/>
        </w:rPr>
        <w:t>Con partizioni leggere mobili, le funzioni sono state fuse insieme per godere della luce del giorno e della vista proveniente dal cortile centrale.</w:t>
      </w:r>
    </w:p>
    <w:p w14:paraId="14BA2E1A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</w:p>
    <w:p w14:paraId="45875849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  <w:r w:rsidRPr="000F341E">
        <w:rPr>
          <w:rFonts w:ascii="TheSans" w:hAnsi="TheSans" w:cs="TheSans"/>
          <w:sz w:val="20"/>
          <w:szCs w:val="20"/>
          <w:lang w:val="en-US"/>
        </w:rPr>
        <w:t>Le camere da letto al primo piano vi permettono di abbracciare la luce del sole tutto il giorno e vi collegano visivamente al cortile, attraverso un terrazzo superiore che serve le camere da letto come estensione privata.</w:t>
      </w:r>
    </w:p>
    <w:p w14:paraId="7452D53D" w14:textId="77777777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</w:p>
    <w:p w14:paraId="4BEB5271" w14:textId="28CB7481" w:rsidR="000F341E" w:rsidRPr="000F341E" w:rsidRDefault="000F341E" w:rsidP="000F341E">
      <w:pPr>
        <w:spacing w:before="240"/>
        <w:rPr>
          <w:rFonts w:ascii="TheSans" w:hAnsi="TheSans" w:cs="TheSans"/>
          <w:sz w:val="20"/>
          <w:szCs w:val="20"/>
          <w:lang w:val="en-US"/>
        </w:rPr>
      </w:pPr>
      <w:r w:rsidRPr="000F341E">
        <w:rPr>
          <w:rFonts w:ascii="TheSans" w:hAnsi="TheSans" w:cs="TheSans"/>
          <w:sz w:val="20"/>
          <w:szCs w:val="20"/>
          <w:lang w:val="en-US"/>
        </w:rPr>
        <w:t>Le camere da letto per bambini sono state progettate con un alto senso di praticit</w:t>
      </w:r>
      <w:r w:rsidRPr="000F341E">
        <w:rPr>
          <w:rFonts w:ascii="Calibri" w:hAnsi="Calibri" w:cs="Calibri"/>
          <w:sz w:val="20"/>
          <w:szCs w:val="20"/>
          <w:lang w:val="en-US"/>
        </w:rPr>
        <w:t>à</w:t>
      </w:r>
      <w:r w:rsidRPr="000F341E">
        <w:rPr>
          <w:rFonts w:ascii="TheSans" w:hAnsi="TheSans" w:cs="TheSans"/>
          <w:sz w:val="20"/>
          <w:szCs w:val="20"/>
          <w:lang w:val="en-US"/>
        </w:rPr>
        <w:t xml:space="preserve"> e funzionalit</w:t>
      </w:r>
      <w:r w:rsidRPr="000F341E">
        <w:rPr>
          <w:rFonts w:ascii="Calibri" w:hAnsi="Calibri" w:cs="Calibri"/>
          <w:sz w:val="20"/>
          <w:szCs w:val="20"/>
          <w:lang w:val="en-US"/>
        </w:rPr>
        <w:t>à</w:t>
      </w:r>
      <w:r w:rsidRPr="000F341E">
        <w:rPr>
          <w:rFonts w:ascii="TheSans" w:hAnsi="TheSans" w:cs="TheSans"/>
          <w:sz w:val="20"/>
          <w:szCs w:val="20"/>
          <w:lang w:val="en-US"/>
        </w:rPr>
        <w:t xml:space="preserve"> per farvi sentire come un bambino.</w:t>
      </w:r>
    </w:p>
    <w:sectPr w:rsidR="000F341E" w:rsidRPr="000F34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">
    <w:panose1 w:val="020B05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23F0F"/>
    <w:multiLevelType w:val="multilevel"/>
    <w:tmpl w:val="C8981138"/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076F2"/>
    <w:multiLevelType w:val="multilevel"/>
    <w:tmpl w:val="C90C8478"/>
    <w:lvl w:ilvl="0">
      <w:start w:val="2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DC"/>
    <w:rsid w:val="00070E48"/>
    <w:rsid w:val="000F341E"/>
    <w:rsid w:val="002046DC"/>
    <w:rsid w:val="00396F95"/>
    <w:rsid w:val="00492578"/>
    <w:rsid w:val="005019FC"/>
    <w:rsid w:val="00600DCB"/>
    <w:rsid w:val="008219ED"/>
    <w:rsid w:val="00862B76"/>
    <w:rsid w:val="00895E74"/>
    <w:rsid w:val="008E2039"/>
    <w:rsid w:val="008E2066"/>
    <w:rsid w:val="00943725"/>
    <w:rsid w:val="0099388F"/>
    <w:rsid w:val="00AA3684"/>
    <w:rsid w:val="00AB144E"/>
    <w:rsid w:val="00BC75AB"/>
    <w:rsid w:val="00C97FFD"/>
    <w:rsid w:val="00CE3667"/>
    <w:rsid w:val="00D94917"/>
    <w:rsid w:val="00DF47D8"/>
    <w:rsid w:val="00E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E83E"/>
  <w15:docId w15:val="{A132679B-49C7-4AAE-A320-10E63BE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E30945"/>
    <w:pPr>
      <w:keepNext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75AB"/>
    <w:pPr>
      <w:keepNext/>
      <w:spacing w:before="240"/>
      <w:outlineLvl w:val="7"/>
    </w:pPr>
    <w:rPr>
      <w:b/>
      <w:sz w:val="18"/>
      <w:szCs w:val="18"/>
    </w:rPr>
  </w:style>
  <w:style w:type="paragraph" w:styleId="9">
    <w:name w:val="heading 9"/>
    <w:basedOn w:val="a"/>
    <w:next w:val="a"/>
    <w:link w:val="9Char"/>
    <w:uiPriority w:val="9"/>
    <w:unhideWhenUsed/>
    <w:qFormat/>
    <w:rsid w:val="000F341E"/>
    <w:pPr>
      <w:keepNext/>
      <w:spacing w:before="240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895E7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E74"/>
    <w:rPr>
      <w:color w:val="605E5C"/>
      <w:shd w:val="clear" w:color="auto" w:fill="E1DFDD"/>
    </w:rPr>
  </w:style>
  <w:style w:type="table" w:styleId="4-6">
    <w:name w:val="Grid Table 4 Accent 6"/>
    <w:basedOn w:val="a1"/>
    <w:uiPriority w:val="49"/>
    <w:rsid w:val="00895E74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7Char">
    <w:name w:val="عنوان 7 Char"/>
    <w:basedOn w:val="a0"/>
    <w:link w:val="7"/>
    <w:uiPriority w:val="9"/>
    <w:rsid w:val="00E30945"/>
    <w:rPr>
      <w:b/>
      <w:bCs/>
      <w:sz w:val="36"/>
      <w:szCs w:val="36"/>
    </w:rPr>
  </w:style>
  <w:style w:type="character" w:customStyle="1" w:styleId="8Char">
    <w:name w:val="عنوان 8 Char"/>
    <w:basedOn w:val="a0"/>
    <w:link w:val="8"/>
    <w:uiPriority w:val="9"/>
    <w:rsid w:val="00BC75AB"/>
    <w:rPr>
      <w:b/>
      <w:sz w:val="18"/>
      <w:szCs w:val="18"/>
    </w:rPr>
  </w:style>
  <w:style w:type="paragraph" w:styleId="a6">
    <w:name w:val="Body Text"/>
    <w:basedOn w:val="a"/>
    <w:link w:val="Char"/>
    <w:uiPriority w:val="99"/>
    <w:unhideWhenUsed/>
    <w:rsid w:val="00AA3684"/>
    <w:pPr>
      <w:spacing w:before="240"/>
    </w:pPr>
    <w:rPr>
      <w:bCs/>
      <w:sz w:val="18"/>
      <w:szCs w:val="18"/>
    </w:rPr>
  </w:style>
  <w:style w:type="character" w:customStyle="1" w:styleId="Char">
    <w:name w:val="نص أساسي Char"/>
    <w:basedOn w:val="a0"/>
    <w:link w:val="a6"/>
    <w:uiPriority w:val="99"/>
    <w:rsid w:val="00AA3684"/>
    <w:rPr>
      <w:b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Char">
    <w:name w:val="عنوان 9 Char"/>
    <w:basedOn w:val="a0"/>
    <w:link w:val="9"/>
    <w:uiPriority w:val="9"/>
    <w:rsid w:val="000F341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vW7PbrKV79Sy3Yu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rchmmansour?t=Li6wxPdODDskytSNMLyCmw&amp;s=08" TargetMode="External"/><Relationship Id="rId5" Type="http://schemas.openxmlformats.org/officeDocument/2006/relationships/hyperlink" Target="https://www.instagram.com/alwathaaeq.c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dcterms:created xsi:type="dcterms:W3CDTF">2023-08-13T13:00:00Z</dcterms:created>
  <dcterms:modified xsi:type="dcterms:W3CDTF">2023-10-16T14:38:00Z</dcterms:modified>
</cp:coreProperties>
</file>