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701"/>
      </w:tblGrid>
      <w:tr w:rsidR="00FB5517" w:rsidTr="00FB5517">
        <w:tc>
          <w:tcPr>
            <w:tcW w:w="2943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8357AE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Título </w:t>
            </w: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de la obra:</w:t>
            </w:r>
          </w:p>
        </w:tc>
        <w:tc>
          <w:tcPr>
            <w:tcW w:w="5701" w:type="dxa"/>
          </w:tcPr>
          <w:p w:rsidR="00FB5517" w:rsidRPr="00FB5517" w:rsidRDefault="00FB5517" w:rsidP="008357AE">
            <w:pPr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FB5517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FB5517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revolucionenelpatio</w:t>
            </w:r>
            <w:proofErr w:type="spellEnd"/>
          </w:p>
        </w:tc>
      </w:tr>
      <w:tr w:rsidR="00FB5517" w:rsidTr="00FB5517">
        <w:tc>
          <w:tcPr>
            <w:tcW w:w="2943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5701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8357AE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1ª FASE DE OBRA DE MEJORA EN LOS PATIOS DE LA FACULTAD DE BELLAS ARTES DE LA UNIVERSIDAD DE MÁLAGA.</w:t>
            </w:r>
          </w:p>
        </w:tc>
      </w:tr>
      <w:tr w:rsidR="00FB5517" w:rsidTr="00FB5517">
        <w:tc>
          <w:tcPr>
            <w:tcW w:w="2943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8357AE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Autores</w:t>
            </w: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 xml:space="preserve"> y directores de obra:</w:t>
            </w:r>
          </w:p>
        </w:tc>
        <w:tc>
          <w:tcPr>
            <w:tcW w:w="5701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FB5517">
              <w:rPr>
                <w:rFonts w:ascii="Swis721 Blk BT" w:hAnsi="Swis721 Blk BT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DJ</w:t>
            </w:r>
            <w:r w:rsidRPr="00FB5517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arquitectura</w:t>
            </w: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 /</w:t>
            </w:r>
            <w:r w:rsidRPr="003F1FF4">
              <w:rPr>
                <w:rFonts w:asciiTheme="majorHAnsi" w:hAnsiTheme="majorHAnsi" w:cs="Arial"/>
                <w:b/>
                <w:bCs/>
                <w:color w:val="202122"/>
                <w:sz w:val="18"/>
                <w:szCs w:val="18"/>
                <w:shd w:val="clear" w:color="auto" w:fill="FFFFFF"/>
              </w:rPr>
              <w:t>Diego Jiménez López - Juana Sánchez Gómez</w:t>
            </w: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FB5517" w:rsidTr="00FB5517">
        <w:tc>
          <w:tcPr>
            <w:tcW w:w="2943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8357AE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Colaboran</w:t>
            </w: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701" w:type="dxa"/>
          </w:tcPr>
          <w:p w:rsidR="00FB5517" w:rsidRDefault="00FB5517" w:rsidP="00FB5517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Jorge Barrios Corpa /ingeniero de caminos/</w:t>
            </w:r>
          </w:p>
        </w:tc>
      </w:tr>
      <w:tr w:rsidR="00FB5517" w:rsidTr="00FB5517">
        <w:tc>
          <w:tcPr>
            <w:tcW w:w="2943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5701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Jorge Salguero Ropero /arquitecto/</w:t>
            </w:r>
          </w:p>
        </w:tc>
      </w:tr>
      <w:tr w:rsidR="00FB5517" w:rsidTr="00FB5517">
        <w:tc>
          <w:tcPr>
            <w:tcW w:w="2943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5701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Graziano</w:t>
            </w:r>
            <w:proofErr w:type="spellEnd"/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 Camelia /arquitecto/</w:t>
            </w:r>
          </w:p>
        </w:tc>
      </w:tr>
      <w:tr w:rsidR="00FB5517" w:rsidTr="00FB5517">
        <w:tc>
          <w:tcPr>
            <w:tcW w:w="2943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8357AE"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Localización:</w:t>
            </w:r>
          </w:p>
        </w:tc>
        <w:tc>
          <w:tcPr>
            <w:tcW w:w="5701" w:type="dxa"/>
          </w:tcPr>
          <w:p w:rsidR="00FB5517" w:rsidRDefault="00FB5517" w:rsidP="00FB5517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Patio de la </w:t>
            </w:r>
            <w:r w:rsidRPr="008357AE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Facultad de Bellas Artes, </w:t>
            </w: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Campus El Ejido, </w:t>
            </w:r>
            <w:r w:rsidRPr="008357AE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Málaga</w:t>
            </w:r>
          </w:p>
        </w:tc>
      </w:tr>
      <w:tr w:rsidR="00FB5517" w:rsidTr="00FB5517">
        <w:tc>
          <w:tcPr>
            <w:tcW w:w="2943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Promotor:</w:t>
            </w:r>
          </w:p>
        </w:tc>
        <w:tc>
          <w:tcPr>
            <w:tcW w:w="5701" w:type="dxa"/>
          </w:tcPr>
          <w:p w:rsidR="00FB5517" w:rsidRPr="00FB5517" w:rsidRDefault="00FB5517" w:rsidP="008357AE">
            <w:pPr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FB5517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Universidad de Málaga</w:t>
            </w:r>
          </w:p>
        </w:tc>
      </w:tr>
      <w:tr w:rsidR="00FB5517" w:rsidTr="003F1FF4">
        <w:tc>
          <w:tcPr>
            <w:tcW w:w="2943" w:type="dxa"/>
          </w:tcPr>
          <w:p w:rsidR="00FB5517" w:rsidRDefault="00FB5517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Constructor:</w:t>
            </w:r>
          </w:p>
        </w:tc>
        <w:tc>
          <w:tcPr>
            <w:tcW w:w="5701" w:type="dxa"/>
          </w:tcPr>
          <w:p w:rsidR="00FB5517" w:rsidRPr="003F1FF4" w:rsidRDefault="00FB5517" w:rsidP="008357AE">
            <w:pPr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3F1FF4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C. </w:t>
            </w:r>
            <w:proofErr w:type="spellStart"/>
            <w:r w:rsidRPr="003F1FF4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Lasor</w:t>
            </w:r>
            <w:proofErr w:type="spellEnd"/>
            <w:r w:rsidRPr="003F1FF4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, s.l.</w:t>
            </w:r>
          </w:p>
        </w:tc>
      </w:tr>
      <w:tr w:rsidR="00FB5517" w:rsidTr="003F1FF4">
        <w:tc>
          <w:tcPr>
            <w:tcW w:w="2943" w:type="dxa"/>
          </w:tcPr>
          <w:p w:rsidR="00FB5517" w:rsidRDefault="00FB5517" w:rsidP="00FB5517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Fecha de comienzo de la obra:</w:t>
            </w:r>
          </w:p>
        </w:tc>
        <w:tc>
          <w:tcPr>
            <w:tcW w:w="5701" w:type="dxa"/>
          </w:tcPr>
          <w:p w:rsidR="00FB5517" w:rsidRPr="003F1FF4" w:rsidRDefault="003F1FF4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</w:pPr>
            <w:r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Julio de 2019</w:t>
            </w:r>
          </w:p>
        </w:tc>
      </w:tr>
      <w:tr w:rsidR="00FB5517" w:rsidTr="003F1FF4">
        <w:tc>
          <w:tcPr>
            <w:tcW w:w="2943" w:type="dxa"/>
          </w:tcPr>
          <w:p w:rsidR="00FB5517" w:rsidRDefault="00FB5517" w:rsidP="00FB5517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Fecha final de obra:</w:t>
            </w:r>
          </w:p>
        </w:tc>
        <w:tc>
          <w:tcPr>
            <w:tcW w:w="5701" w:type="dxa"/>
          </w:tcPr>
          <w:p w:rsidR="00FB5517" w:rsidRPr="003F1FF4" w:rsidRDefault="002D0EB6" w:rsidP="002D0EB6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03</w:t>
            </w:r>
            <w:r w:rsidR="003F1FF4"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 de </w:t>
            </w: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diciembre</w:t>
            </w:r>
            <w:r w:rsidR="003F1FF4"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 de 2020</w:t>
            </w:r>
          </w:p>
        </w:tc>
      </w:tr>
      <w:tr w:rsidR="00FB5517" w:rsidTr="003F1FF4">
        <w:tc>
          <w:tcPr>
            <w:tcW w:w="2943" w:type="dxa"/>
          </w:tcPr>
          <w:p w:rsidR="00FB5517" w:rsidRDefault="00FB5517" w:rsidP="00FB5517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Superficie construida:</w:t>
            </w:r>
          </w:p>
        </w:tc>
        <w:tc>
          <w:tcPr>
            <w:tcW w:w="5701" w:type="dxa"/>
          </w:tcPr>
          <w:p w:rsidR="00FB5517" w:rsidRDefault="003F1FF4" w:rsidP="00C9208C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570,85m2 de patio y </w:t>
            </w:r>
            <w:r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371,80m2 de </w:t>
            </w:r>
            <w:r w:rsidR="00C9208C" w:rsidRPr="00C9208C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tribuna plegada</w:t>
            </w:r>
          </w:p>
        </w:tc>
      </w:tr>
      <w:tr w:rsidR="00FB5517" w:rsidTr="003F1FF4">
        <w:tc>
          <w:tcPr>
            <w:tcW w:w="2943" w:type="dxa"/>
          </w:tcPr>
          <w:p w:rsidR="003F1FF4" w:rsidRDefault="00FB5517" w:rsidP="003F1FF4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Presupuesto:</w:t>
            </w:r>
          </w:p>
        </w:tc>
        <w:tc>
          <w:tcPr>
            <w:tcW w:w="5701" w:type="dxa"/>
          </w:tcPr>
          <w:p w:rsidR="00FB5517" w:rsidRDefault="003F1FF4" w:rsidP="003F1FF4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420.547,25€</w:t>
            </w:r>
          </w:p>
        </w:tc>
      </w:tr>
      <w:tr w:rsidR="00FB5517" w:rsidTr="003F1FF4">
        <w:tc>
          <w:tcPr>
            <w:tcW w:w="2943" w:type="dxa"/>
          </w:tcPr>
          <w:p w:rsidR="00FB5517" w:rsidRDefault="003F1FF4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  <w:t>Fotografías:</w:t>
            </w:r>
          </w:p>
        </w:tc>
        <w:tc>
          <w:tcPr>
            <w:tcW w:w="5701" w:type="dxa"/>
          </w:tcPr>
          <w:p w:rsidR="00FB5517" w:rsidRDefault="00BA5A4B" w:rsidP="008357AE">
            <w:pPr>
              <w:rPr>
                <w:rFonts w:asciiTheme="majorHAnsi" w:hAnsiTheme="majorHAnsi" w:cs="Arial"/>
                <w:bCs/>
                <w:color w:val="202122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Jesus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 Granada, </w:t>
            </w:r>
            <w:r w:rsidR="003F1FF4" w:rsidRPr="003F1FF4">
              <w:rPr>
                <w:rFonts w:asciiTheme="majorHAnsi" w:hAnsiTheme="majorHAnsi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Nicolás Díaz </w:t>
            </w:r>
            <w:r w:rsidR="003F1FF4" w:rsidRPr="003F1FF4">
              <w:rPr>
                <w:rFonts w:asciiTheme="majorHAnsi" w:hAnsiTheme="majorHAnsi" w:cs="Arial"/>
                <w:bCs/>
                <w:color w:val="202122"/>
                <w:sz w:val="20"/>
                <w:szCs w:val="20"/>
                <w:shd w:val="clear" w:color="auto" w:fill="FFFFFF"/>
              </w:rPr>
              <w:t>y DJarquitectura</w:t>
            </w:r>
          </w:p>
        </w:tc>
      </w:tr>
    </w:tbl>
    <w:p w:rsidR="008357AE" w:rsidRDefault="008357AE" w:rsidP="009C1B88">
      <w:pPr>
        <w:jc w:val="both"/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</w:pPr>
    </w:p>
    <w:p w:rsidR="009079BB" w:rsidRDefault="009079BB" w:rsidP="009C1B88">
      <w:pPr>
        <w:jc w:val="both"/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Parece que hay una constante en los edificios académicos: el necesitar ampliarse, habitualmente a costa de sus cualidades iniciales, lo que lleva a deformar su naturaleza en un desconcierto de </w:t>
      </w:r>
      <w:r w:rsidR="002C69CF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arquitecturas, difíciles de articular.</w:t>
      </w:r>
    </w:p>
    <w:p w:rsidR="002C69CF" w:rsidRDefault="002C69CF" w:rsidP="002C69CF">
      <w:pPr>
        <w:jc w:val="both"/>
        <w:rPr>
          <w:rFonts w:asciiTheme="majorHAnsi" w:hAnsiTheme="majorHAnsi" w:cs="Arial"/>
          <w:bCs/>
          <w:color w:val="202122"/>
          <w:sz w:val="20"/>
          <w:szCs w:val="20"/>
          <w:u w:val="single"/>
          <w:shd w:val="clear" w:color="auto" w:fill="FFFFFF"/>
        </w:rPr>
      </w:pPr>
      <w:r>
        <w:rPr>
          <w:rFonts w:asciiTheme="majorHAnsi" w:hAnsiTheme="majorHAnsi" w:cs="Arial"/>
          <w:bCs/>
          <w:color w:val="202122"/>
          <w:sz w:val="20"/>
          <w:szCs w:val="20"/>
          <w:u w:val="single"/>
          <w:shd w:val="clear" w:color="auto" w:fill="FFFFFF"/>
        </w:rPr>
        <w:t>MEMORIA:</w:t>
      </w:r>
    </w:p>
    <w:p w:rsidR="009C1B88" w:rsidRDefault="00DC48DB" w:rsidP="009C1B88">
      <w:pPr>
        <w:jc w:val="both"/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</w:pPr>
      <w:r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Bellas Artes </w:t>
      </w:r>
      <w:proofErr w:type="gramStart"/>
      <w:r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es</w:t>
      </w:r>
      <w:proofErr w:type="gramEnd"/>
      <w:r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de las últimas incorporaciones a los estudios de la Universidad de Málaga, comenz</w:t>
      </w:r>
      <w:r w:rsidR="006063D8"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ó</w:t>
      </w:r>
      <w:r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su andadura </w:t>
      </w:r>
      <w:r w:rsidR="006063D8"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en </w:t>
      </w:r>
      <w:r w:rsidR="009C1B88"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el año 2010, </w:t>
      </w:r>
      <w:r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en </w:t>
      </w:r>
      <w:r w:rsidR="006063D8"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pleno declive económico en </w:t>
      </w:r>
      <w:r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el corazón de la crisis </w:t>
      </w:r>
      <w:r w:rsidR="006063D8"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financiera </w:t>
      </w:r>
      <w:r w:rsidR="00662D8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del sistema del euro, l</w:t>
      </w:r>
      <w:r w:rsidR="009C1B88"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o que lleva a la Universidad a ajustar sus recursos para poder poner</w:t>
      </w:r>
      <w:r w:rsidR="00FB5517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la en funcionamiento. En este contexto, decide</w:t>
      </w:r>
      <w:r w:rsidR="009C1B88" w:rsidRPr="009C1B8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ocupar los antiguos edificios de la escuela de ingenieros industriales en el Campus de el E</w:t>
      </w:r>
      <w:r w:rsidR="00FB5517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jido, </w:t>
      </w:r>
      <w:r w:rsidR="00662D8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formado por tres edificios dispares construidos en distintas épocas ocasionado por el crecimiento y mejora de las instalaciones universitarias.</w:t>
      </w:r>
    </w:p>
    <w:p w:rsidR="002467F8" w:rsidRDefault="00662D8B" w:rsidP="009C1B88">
      <w:pPr>
        <w:jc w:val="both"/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Esta estructura de edificios</w:t>
      </w:r>
      <w:r w:rsidR="00CD6FA9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que se han ido adosando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, </w:t>
      </w:r>
      <w:r w:rsidR="00CD6FA9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de diseño libre y autónomo, han generado una organización de patios y vacios que con el tiempo se han ido desdibujando, ocupados por techumbres e infraestructuras de instalaciones que en su mayoría han quedado en desuso por su obsolescencia, apareciendo un </w:t>
      </w:r>
      <w:r w:rsidR="00C9208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aspecto </w:t>
      </w:r>
      <w:r w:rsidR="00CD6FA9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i</w:t>
      </w:r>
      <w:r w:rsidR="00C9208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nterior decadente asemejado a los paisaje</w:t>
      </w:r>
      <w:r w:rsidR="008B0275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s</w:t>
      </w:r>
      <w:r w:rsidR="00C9208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suburbanos de una gran ciudad. </w:t>
      </w:r>
      <w:r w:rsidR="002467F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En contraposición a esta imagen desolada de estos espacios, está el uso intenso por parte de los estudiantes, que por su aspecto </w:t>
      </w:r>
      <w:proofErr w:type="spellStart"/>
      <w:r w:rsidR="002467F8" w:rsidRPr="002467F8">
        <w:rPr>
          <w:rFonts w:asciiTheme="majorHAnsi" w:hAnsiTheme="majorHAnsi" w:cs="Arial"/>
          <w:bCs/>
          <w:i/>
          <w:color w:val="202122"/>
          <w:sz w:val="20"/>
          <w:szCs w:val="20"/>
          <w:shd w:val="clear" w:color="auto" w:fill="FFFFFF"/>
        </w:rPr>
        <w:t>underground</w:t>
      </w:r>
      <w:proofErr w:type="spellEnd"/>
      <w:r w:rsidR="002467F8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han sido enseña de inspiración y creatividad.</w:t>
      </w:r>
    </w:p>
    <w:p w:rsidR="00752165" w:rsidRDefault="002467F8" w:rsidP="009C1B88">
      <w:pPr>
        <w:jc w:val="both"/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Ante esta situación, el encargo por parte del decanato de Bellas Artes y la Universidad </w:t>
      </w:r>
      <w:r w:rsidR="0059717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consiste en; eliminación de estructuras existentes obsoletas y renovar las instalaciones, a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condicionar </w:t>
      </w:r>
      <w:r w:rsidR="0059717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y mejorar 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los patios para un adecua</w:t>
      </w:r>
      <w:r w:rsidR="0059717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do uso por parte de estudiantes y construir un lugar de referencia para los actos y presentaciones artísticas, todo esto sin perder la idiosincrasia de los vacios como un lugar para la creatividad.</w:t>
      </w:r>
      <w:r w:rsidR="005E59E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A estos requisitos</w:t>
      </w:r>
      <w:r w:rsidR="0059717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le añadimos</w:t>
      </w:r>
      <w:r w:rsidR="005E59E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</w:t>
      </w:r>
      <w:r w:rsidR="000C6421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de manera inevitable</w:t>
      </w:r>
      <w:r w:rsidR="005E59E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, que la propuesta deb</w:t>
      </w:r>
      <w:r w:rsidR="000C6421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a</w:t>
      </w:r>
      <w:r w:rsidR="005E59E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coser la conexión entre los distintos edificios, facilitando </w:t>
      </w:r>
      <w:r w:rsidR="000C6421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su relación</w:t>
      </w:r>
      <w:r w:rsidR="005E59EC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, accesibilidad y evacuación.</w:t>
      </w:r>
    </w:p>
    <w:p w:rsidR="002C69CF" w:rsidRDefault="00752165" w:rsidP="000521FD">
      <w:pPr>
        <w:jc w:val="both"/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La propuesta </w:t>
      </w:r>
      <w:r w:rsidR="000675C0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cambia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completamente la imagen actual de los patios, re</w:t>
      </w:r>
      <w:r w:rsidR="000C6421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velando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estos lugares </w:t>
      </w:r>
      <w:r w:rsidR="000675C0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y convirtiéndolos en vestíbulo de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</w:t>
      </w:r>
      <w:r w:rsidR="000675C0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la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facultad, </w:t>
      </w:r>
      <w:r w:rsidR="000675C0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a la vez que construye un espacio referencial en </w:t>
      </w:r>
      <w:proofErr w:type="gramStart"/>
      <w:r w:rsidR="000675C0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el</w:t>
      </w:r>
      <w:proofErr w:type="gramEnd"/>
      <w:r w:rsidR="000675C0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amalgama de edificaciones. </w:t>
      </w:r>
      <w:r w:rsidR="009079B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Aprovechar esta área como oportunidad para ordenar el conjunto, trabajando con la misma lógica de agregación, que hasta ahora se ha llevado a cabo; nuevas arquitecturas con nuevos lenguajes y materialidad, que pone en evidencia est</w:t>
      </w:r>
      <w:r w:rsidR="002C69CF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e conjunto heterogéneo</w:t>
      </w:r>
      <w:r w:rsidR="009079B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. Esta primera fase del proyecto 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puede sintetizarse en dos acciones claras, que llamamos </w:t>
      </w:r>
      <w:r w:rsidRPr="00752165">
        <w:rPr>
          <w:rFonts w:asciiTheme="majorHAnsi" w:hAnsiTheme="majorHAnsi" w:cs="Arial"/>
          <w:bCs/>
          <w:i/>
          <w:color w:val="202122"/>
          <w:sz w:val="20"/>
          <w:szCs w:val="20"/>
          <w:shd w:val="clear" w:color="auto" w:fill="FFFFFF"/>
        </w:rPr>
        <w:t>la plaza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y </w:t>
      </w:r>
      <w:r w:rsidRPr="00752165">
        <w:rPr>
          <w:rFonts w:asciiTheme="majorHAnsi" w:hAnsiTheme="majorHAnsi" w:cs="Arial"/>
          <w:bCs/>
          <w:i/>
          <w:color w:val="202122"/>
          <w:sz w:val="20"/>
          <w:szCs w:val="20"/>
          <w:shd w:val="clear" w:color="auto" w:fill="FFFFFF"/>
        </w:rPr>
        <w:t>la tribuna plegada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.</w:t>
      </w:r>
      <w:r w:rsidR="00152A07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Dos órdenes subordinados que buscan descontextualizar</w:t>
      </w:r>
      <w:r w:rsidR="006B4341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se d</w:t>
      </w:r>
      <w:r w:rsidR="00152A07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el </w:t>
      </w:r>
      <w:r w:rsidR="006B4341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desabrido emplazamiento.</w:t>
      </w:r>
    </w:p>
    <w:p w:rsidR="000521FD" w:rsidRPr="006B4341" w:rsidRDefault="000521FD" w:rsidP="000521FD">
      <w:pPr>
        <w:jc w:val="both"/>
        <w:rPr>
          <w:rFonts w:asciiTheme="majorHAnsi" w:hAnsiTheme="majorHAnsi" w:cs="Arial"/>
          <w:bCs/>
          <w:color w:val="202122"/>
          <w:sz w:val="20"/>
          <w:szCs w:val="20"/>
          <w:u w:val="single"/>
          <w:shd w:val="clear" w:color="auto" w:fill="FFFFFF"/>
        </w:rPr>
      </w:pPr>
      <w:proofErr w:type="gramStart"/>
      <w:r w:rsidRPr="006B4341">
        <w:rPr>
          <w:rFonts w:asciiTheme="majorHAnsi" w:hAnsiTheme="majorHAnsi" w:cs="Arial"/>
          <w:bCs/>
          <w:i/>
          <w:color w:val="202122"/>
          <w:sz w:val="20"/>
          <w:szCs w:val="20"/>
          <w:u w:val="single"/>
          <w:shd w:val="clear" w:color="auto" w:fill="FFFFFF"/>
        </w:rPr>
        <w:lastRenderedPageBreak/>
        <w:t>la</w:t>
      </w:r>
      <w:proofErr w:type="gramEnd"/>
      <w:r w:rsidRPr="006B4341">
        <w:rPr>
          <w:rFonts w:asciiTheme="majorHAnsi" w:hAnsiTheme="majorHAnsi" w:cs="Arial"/>
          <w:bCs/>
          <w:i/>
          <w:color w:val="202122"/>
          <w:sz w:val="20"/>
          <w:szCs w:val="20"/>
          <w:u w:val="single"/>
          <w:shd w:val="clear" w:color="auto" w:fill="FFFFFF"/>
        </w:rPr>
        <w:t xml:space="preserve"> plaza</w:t>
      </w:r>
    </w:p>
    <w:p w:rsidR="00152A07" w:rsidRDefault="00672D8F" w:rsidP="000521FD">
      <w:pPr>
        <w:jc w:val="both"/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Se sustituye el suelo existente por uno nuevo que resuelve la accesibilidad de los edificios,</w:t>
      </w:r>
      <w:r w:rsidRPr="00672D8F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recuperando las cotas originales de los accesos, una topografía continua que carece de saltos y desniveles, ejecutado de piedra portuguesa sin aglomerante, para facilitar el registro y ampliación de instalaciones.</w:t>
      </w:r>
      <w:r w:rsidR="00152A07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Un espacio vacío a la espera de ser ocupado por los estudiantes, un lugar de flujos e intercambio, de estancia y desprovisto de uso, con el deseo de ser apropiado con </w:t>
      </w:r>
      <w:r w:rsidR="002C69CF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creatividad</w:t>
      </w:r>
      <w:r w:rsidR="00152A07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.</w:t>
      </w:r>
    </w:p>
    <w:p w:rsidR="000521FD" w:rsidRPr="006B4341" w:rsidRDefault="000521FD" w:rsidP="000521FD">
      <w:pPr>
        <w:jc w:val="both"/>
        <w:rPr>
          <w:rFonts w:asciiTheme="majorHAnsi" w:hAnsiTheme="majorHAnsi" w:cs="Arial"/>
          <w:bCs/>
          <w:color w:val="202122"/>
          <w:sz w:val="20"/>
          <w:szCs w:val="20"/>
          <w:u w:val="single"/>
          <w:shd w:val="clear" w:color="auto" w:fill="FFFFFF"/>
        </w:rPr>
      </w:pPr>
      <w:proofErr w:type="gramStart"/>
      <w:r w:rsidRPr="006B4341">
        <w:rPr>
          <w:rFonts w:asciiTheme="majorHAnsi" w:hAnsiTheme="majorHAnsi" w:cs="Arial"/>
          <w:bCs/>
          <w:i/>
          <w:color w:val="202122"/>
          <w:sz w:val="20"/>
          <w:szCs w:val="20"/>
          <w:u w:val="single"/>
          <w:shd w:val="clear" w:color="auto" w:fill="FFFFFF"/>
        </w:rPr>
        <w:t>la</w:t>
      </w:r>
      <w:proofErr w:type="gramEnd"/>
      <w:r w:rsidRPr="006B4341">
        <w:rPr>
          <w:rFonts w:asciiTheme="majorHAnsi" w:hAnsiTheme="majorHAnsi" w:cs="Arial"/>
          <w:bCs/>
          <w:i/>
          <w:color w:val="202122"/>
          <w:sz w:val="20"/>
          <w:szCs w:val="20"/>
          <w:u w:val="single"/>
          <w:shd w:val="clear" w:color="auto" w:fill="FFFFFF"/>
        </w:rPr>
        <w:t xml:space="preserve"> tribuna plegada</w:t>
      </w:r>
    </w:p>
    <w:p w:rsidR="004125EB" w:rsidRDefault="002C69CF" w:rsidP="009C1B88">
      <w:pPr>
        <w:jc w:val="both"/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U</w:t>
      </w:r>
      <w:r w:rsidR="00152A07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na estructura de hormigón</w:t>
      </w:r>
      <w:r w:rsidR="006B4341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armado encajada en 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uno de los patios</w:t>
      </w:r>
      <w:r w:rsidR="006B4341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, un suelo que asciende desde el suelo enroscándose buscando los diferentes niveles de los edificios y así poder conectarlos; una</w:t>
      </w:r>
      <w:r w:rsidR="004125E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s plataformas y escaleras, que se desarrollan continuas y </w:t>
      </w:r>
      <w:r w:rsidR="006B4341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en espiral</w:t>
      </w:r>
      <w:r w:rsidR="004125E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, con</w:t>
      </w:r>
      <w:r w:rsidR="006B4341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ancho variable que permite ampliar el uso exterior en las diferentes alturas</w:t>
      </w:r>
      <w:r w:rsidR="004125E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, enriqueciendo y particularizando estos espacios con mayor diversidad.</w:t>
      </w:r>
    </w:p>
    <w:p w:rsidR="002C69CF" w:rsidRDefault="004125EB" w:rsidP="009C1B88">
      <w:pPr>
        <w:jc w:val="both"/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Una arquitectura construida solo de hueso, sin músculos ni piel. Que flota desde su perímetro liberando el suelo, con sendos muros que se adosan a los edificios existentes, </w:t>
      </w:r>
      <w:proofErr w:type="spellStart"/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fachalizando</w:t>
      </w:r>
      <w:proofErr w:type="spellEnd"/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este patio con una nueva identidad, transmutando los huecos e</w:t>
      </w:r>
      <w:r w:rsidR="002C7675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xistentes con un nuevo lenguaje. </w:t>
      </w:r>
      <w:r w:rsidR="008761F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H</w:t>
      </w:r>
      <w:r w:rsidR="002C7675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uecos extraídos del inventario de arquitectura; el arco como arquetipo clásico</w:t>
      </w:r>
      <w:r w:rsidR="008761F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es</w:t>
      </w:r>
      <w:r w:rsidR="002C7675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</w:t>
      </w:r>
      <w:r w:rsidR="008761F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manipulado para liberarlo de su función y ser </w:t>
      </w:r>
      <w:r w:rsidR="002C7675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utilizado </w:t>
      </w:r>
      <w:r w:rsidR="008761F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solo como</w:t>
      </w:r>
      <w:r w:rsidR="002C7675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figura</w:t>
      </w:r>
      <w:r w:rsidR="008761F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que pretende comunicar nuevos mensajes, con el propósito de motivar una arquitectura discu</w:t>
      </w:r>
      <w:r w:rsidR="00831752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r</w:t>
      </w:r>
      <w:r w:rsidR="008761FB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siva que sea capaz de interactuar con los usuarios.</w:t>
      </w:r>
    </w:p>
    <w:p w:rsidR="00002FC6" w:rsidRDefault="00002FC6" w:rsidP="009C1B88">
      <w:pPr>
        <w:jc w:val="both"/>
        <w:rPr>
          <w:rFonts w:asciiTheme="majorHAnsi" w:hAnsiTheme="majorHAnsi" w:cs="Arial"/>
          <w:bCs/>
          <w:i/>
          <w:color w:val="202122"/>
          <w:sz w:val="20"/>
          <w:szCs w:val="20"/>
          <w:u w:val="single"/>
          <w:shd w:val="clear" w:color="auto" w:fill="FFFFFF"/>
        </w:rPr>
      </w:pPr>
      <w:r w:rsidRPr="00831752">
        <w:rPr>
          <w:rFonts w:asciiTheme="majorHAnsi" w:hAnsiTheme="majorHAnsi" w:cs="Arial"/>
          <w:bCs/>
          <w:i/>
          <w:color w:val="202122"/>
          <w:sz w:val="20"/>
          <w:szCs w:val="20"/>
          <w:u w:val="single"/>
          <w:shd w:val="clear" w:color="auto" w:fill="FFFFFF"/>
        </w:rPr>
        <w:t>La construcción</w:t>
      </w:r>
    </w:p>
    <w:p w:rsidR="00831752" w:rsidRPr="00831752" w:rsidRDefault="00831752" w:rsidP="009C1B88">
      <w:pPr>
        <w:jc w:val="both"/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Piedra para el suelo de la plaza y hormigón para la estructura; solo eso, de retórica sencilla y de tecnología compleja, ya que esta tosca apariencia esconde una ciencia renovada. Cementos estructurales de alta resistencia, </w:t>
      </w:r>
      <w:r w:rsidR="008C03D6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ahuecados de los hormigones para aligerar su peso y aumentar su inercia estructural, 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aditivos impermeabilizantes</w:t>
      </w:r>
      <w:r w:rsidR="008C03D6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que precisa de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dosificaciones y puestas en obra </w:t>
      </w:r>
      <w:r w:rsidR="008C03D6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rigurosa</w:t>
      </w:r>
      <w:r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>,</w:t>
      </w:r>
      <w:r w:rsidR="008C03D6">
        <w:rPr>
          <w:rFonts w:asciiTheme="majorHAnsi" w:hAnsiTheme="majorHAnsi" w:cs="Arial"/>
          <w:bCs/>
          <w:color w:val="202122"/>
          <w:sz w:val="20"/>
          <w:szCs w:val="20"/>
          <w:shd w:val="clear" w:color="auto" w:fill="FFFFFF"/>
        </w:rPr>
        <w:t xml:space="preserve"> encofrados artesanales de constructores locales, donde las manos de los carpinteros conformaron su apariencia otorgándole a este esqueleto su propia singularidad.</w:t>
      </w:r>
    </w:p>
    <w:sectPr w:rsidR="00831752" w:rsidRPr="00831752" w:rsidSect="008A7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C48DB"/>
    <w:rsid w:val="00002FC6"/>
    <w:rsid w:val="000521FD"/>
    <w:rsid w:val="000675C0"/>
    <w:rsid w:val="000A07F8"/>
    <w:rsid w:val="000C6421"/>
    <w:rsid w:val="00152A07"/>
    <w:rsid w:val="0016798E"/>
    <w:rsid w:val="00187613"/>
    <w:rsid w:val="002467F8"/>
    <w:rsid w:val="002C69CF"/>
    <w:rsid w:val="002C7675"/>
    <w:rsid w:val="002D0EB6"/>
    <w:rsid w:val="003F1FF4"/>
    <w:rsid w:val="004125EB"/>
    <w:rsid w:val="0059717C"/>
    <w:rsid w:val="005E59EC"/>
    <w:rsid w:val="006063D8"/>
    <w:rsid w:val="006467BD"/>
    <w:rsid w:val="00662D8B"/>
    <w:rsid w:val="00672D8F"/>
    <w:rsid w:val="006B4341"/>
    <w:rsid w:val="00752165"/>
    <w:rsid w:val="00831752"/>
    <w:rsid w:val="008357AE"/>
    <w:rsid w:val="0086540F"/>
    <w:rsid w:val="008761FB"/>
    <w:rsid w:val="008A7F08"/>
    <w:rsid w:val="008B0275"/>
    <w:rsid w:val="008C03D6"/>
    <w:rsid w:val="009079BB"/>
    <w:rsid w:val="009C1B88"/>
    <w:rsid w:val="00BA5A4B"/>
    <w:rsid w:val="00C9208C"/>
    <w:rsid w:val="00CC6EBA"/>
    <w:rsid w:val="00CD6FA9"/>
    <w:rsid w:val="00D12537"/>
    <w:rsid w:val="00DC48DB"/>
    <w:rsid w:val="00FB5517"/>
    <w:rsid w:val="00FD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48D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3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1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2020-09-09T07:22:00Z</dcterms:created>
  <dcterms:modified xsi:type="dcterms:W3CDTF">2021-01-28T12:17:00Z</dcterms:modified>
</cp:coreProperties>
</file>